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72B" w:rsidRPr="00201CAD" w:rsidRDefault="00A2372B" w:rsidP="00A2372B">
      <w:pPr>
        <w:pStyle w:val="NoSpacing"/>
        <w:jc w:val="center"/>
        <w:rPr>
          <w:b/>
          <w:sz w:val="48"/>
          <w:szCs w:val="48"/>
        </w:rPr>
      </w:pPr>
      <w:r w:rsidRPr="00201CAD">
        <w:rPr>
          <w:b/>
          <w:sz w:val="48"/>
          <w:szCs w:val="48"/>
        </w:rPr>
        <w:t>A Guide to the Use of Marks</w:t>
      </w:r>
      <w:r>
        <w:rPr>
          <w:b/>
          <w:sz w:val="48"/>
          <w:szCs w:val="48"/>
        </w:rPr>
        <w:t xml:space="preserve"> </w:t>
      </w:r>
      <w:r w:rsidRPr="00201CAD">
        <w:rPr>
          <w:b/>
          <w:sz w:val="48"/>
          <w:szCs w:val="48"/>
        </w:rPr>
        <w:t>in Senior Science Assessment</w:t>
      </w:r>
      <w:r>
        <w:rPr>
          <w:b/>
          <w:sz w:val="48"/>
          <w:szCs w:val="48"/>
        </w:rPr>
        <w:t xml:space="preserve"> </w:t>
      </w:r>
      <w:r w:rsidRPr="00201CAD">
        <w:rPr>
          <w:b/>
          <w:sz w:val="48"/>
          <w:szCs w:val="48"/>
        </w:rPr>
        <w:t>in Queensland</w:t>
      </w:r>
    </w:p>
    <w:p w:rsidR="00A2372B" w:rsidRDefault="00A2372B" w:rsidP="00A2372B">
      <w:pPr>
        <w:pStyle w:val="NoSpacing"/>
        <w:rPr>
          <w:sz w:val="28"/>
          <w:szCs w:val="28"/>
        </w:rPr>
      </w:pPr>
    </w:p>
    <w:p w:rsidR="00A2372B" w:rsidRPr="00201CAD" w:rsidRDefault="00A2372B" w:rsidP="00A2372B">
      <w:pPr>
        <w:widowControl/>
        <w:spacing w:before="0" w:after="200" w:line="276" w:lineRule="auto"/>
        <w:rPr>
          <w:rFonts w:asciiTheme="minorHAnsi" w:hAnsiTheme="minorHAnsi"/>
          <w:sz w:val="28"/>
          <w:szCs w:val="28"/>
        </w:rPr>
      </w:pPr>
      <w:r w:rsidRPr="00201CAD">
        <w:rPr>
          <w:rFonts w:asciiTheme="minorHAnsi" w:hAnsiTheme="minorHAnsi"/>
          <w:sz w:val="28"/>
          <w:szCs w:val="28"/>
        </w:rPr>
        <w:t>DISCLAIMER</w:t>
      </w:r>
    </w:p>
    <w:p w:rsidR="00A2372B" w:rsidRPr="00201CAD" w:rsidRDefault="00A2372B" w:rsidP="00A2372B">
      <w:pPr>
        <w:widowControl/>
        <w:spacing w:before="0" w:after="200" w:line="276" w:lineRule="auto"/>
        <w:rPr>
          <w:rFonts w:asciiTheme="minorHAnsi" w:hAnsiTheme="minorHAnsi"/>
          <w:sz w:val="28"/>
          <w:szCs w:val="28"/>
        </w:rPr>
      </w:pPr>
      <w:r w:rsidRPr="00201CAD">
        <w:rPr>
          <w:rFonts w:asciiTheme="minorHAnsi" w:hAnsiTheme="minorHAnsi"/>
          <w:sz w:val="28"/>
          <w:szCs w:val="28"/>
        </w:rPr>
        <w:t>I</w:t>
      </w:r>
      <w:r w:rsidR="006220C7">
        <w:rPr>
          <w:rFonts w:asciiTheme="minorHAnsi" w:hAnsiTheme="minorHAnsi"/>
          <w:sz w:val="28"/>
          <w:szCs w:val="28"/>
        </w:rPr>
        <w:t>n</w:t>
      </w:r>
      <w:bookmarkStart w:id="0" w:name="_GoBack"/>
      <w:bookmarkEnd w:id="0"/>
      <w:r w:rsidRPr="00201CAD">
        <w:rPr>
          <w:rFonts w:asciiTheme="minorHAnsi" w:hAnsiTheme="minorHAnsi"/>
          <w:sz w:val="28"/>
          <w:szCs w:val="28"/>
        </w:rPr>
        <w:t xml:space="preserve"> many regards using marks in the conventional sense is incompatible with the present science syllabuses because, right from their conception, it was planne</w:t>
      </w:r>
      <w:r>
        <w:rPr>
          <w:rFonts w:asciiTheme="minorHAnsi" w:hAnsiTheme="minorHAnsi"/>
          <w:sz w:val="28"/>
          <w:szCs w:val="28"/>
        </w:rPr>
        <w:t xml:space="preserve">d that marks could not be used. The intention was made clear at meetings prior to the introduction of the syllabus and in the written advice provided by the QSA to </w:t>
      </w:r>
      <w:r w:rsidRPr="00201CAD">
        <w:rPr>
          <w:rFonts w:asciiTheme="minorHAnsi" w:hAnsiTheme="minorHAnsi"/>
          <w:sz w:val="28"/>
          <w:szCs w:val="28"/>
        </w:rPr>
        <w:t>senior science teachers:</w:t>
      </w:r>
    </w:p>
    <w:p w:rsidR="00A2372B" w:rsidRPr="00201CAD" w:rsidRDefault="00A2372B" w:rsidP="00A2372B">
      <w:pPr>
        <w:widowControl/>
        <w:spacing w:before="0" w:after="200" w:line="276" w:lineRule="auto"/>
        <w:rPr>
          <w:rFonts w:asciiTheme="minorHAnsi" w:hAnsiTheme="minorHAnsi"/>
          <w:sz w:val="24"/>
          <w:szCs w:val="24"/>
        </w:rPr>
      </w:pPr>
      <w:r w:rsidRPr="00201CAD">
        <w:rPr>
          <w:rFonts w:asciiTheme="minorHAnsi" w:hAnsiTheme="minorHAnsi"/>
          <w:sz w:val="24"/>
          <w:szCs w:val="24"/>
        </w:rPr>
        <w:t xml:space="preserve">“An analysis of the underlying assumptions shows that numerical marking systems enjoy a status that is higher than they strictly deserve. </w:t>
      </w:r>
      <w:r w:rsidRPr="00201CAD">
        <w:rPr>
          <w:rFonts w:asciiTheme="minorHAnsi" w:hAnsiTheme="minorHAnsi"/>
          <w:b/>
          <w:sz w:val="24"/>
          <w:szCs w:val="24"/>
          <w:u w:val="single"/>
        </w:rPr>
        <w:t>The use of marks in criteria-based assessment is inappropriate</w:t>
      </w:r>
      <w:r w:rsidRPr="00201CAD">
        <w:rPr>
          <w:rFonts w:asciiTheme="minorHAnsi" w:hAnsiTheme="minorHAnsi"/>
          <w:sz w:val="24"/>
          <w:szCs w:val="24"/>
        </w:rPr>
        <w:t xml:space="preserve"> for two sets of reasons. Firstly, the assumptions are not generally satisfied in any form of school-based assessment, and secondly, the use of marks as currency in grade-exchange transactions diverts attention away from criteria, standards, and the processes of qualitative appraisals, and to that extent is educationally counterproductive.”</w:t>
      </w:r>
    </w:p>
    <w:p w:rsidR="00A2372B" w:rsidRPr="00201CAD" w:rsidRDefault="00A2372B" w:rsidP="00A2372B">
      <w:pPr>
        <w:pStyle w:val="NoSpacing"/>
        <w:rPr>
          <w:sz w:val="24"/>
          <w:szCs w:val="24"/>
        </w:rPr>
      </w:pPr>
      <w:r w:rsidRPr="00201CAD">
        <w:rPr>
          <w:i/>
          <w:sz w:val="24"/>
          <w:szCs w:val="24"/>
        </w:rPr>
        <w:t>The importance of instrument-specific criteria and standards: Moving on from marks</w:t>
      </w:r>
      <w:r w:rsidRPr="00201CAD">
        <w:rPr>
          <w:sz w:val="24"/>
          <w:szCs w:val="24"/>
        </w:rPr>
        <w:t xml:space="preserve">. </w:t>
      </w:r>
    </w:p>
    <w:p w:rsidR="00A2372B" w:rsidRPr="00201CAD" w:rsidRDefault="00A2372B" w:rsidP="00A2372B">
      <w:pPr>
        <w:pStyle w:val="NoSpacing"/>
        <w:rPr>
          <w:sz w:val="24"/>
          <w:szCs w:val="24"/>
        </w:rPr>
      </w:pPr>
      <w:r w:rsidRPr="00201CAD">
        <w:rPr>
          <w:sz w:val="24"/>
          <w:szCs w:val="24"/>
        </w:rPr>
        <w:t>(QSA</w:t>
      </w:r>
      <w:r>
        <w:rPr>
          <w:sz w:val="24"/>
          <w:szCs w:val="24"/>
        </w:rPr>
        <w:t>, July</w:t>
      </w:r>
      <w:r w:rsidRPr="00201CAD">
        <w:rPr>
          <w:sz w:val="24"/>
          <w:szCs w:val="24"/>
        </w:rPr>
        <w:t xml:space="preserve"> 2008)</w:t>
      </w:r>
    </w:p>
    <w:p w:rsidR="00A2372B" w:rsidRDefault="00A2372B" w:rsidP="00A2372B">
      <w:pPr>
        <w:widowControl/>
        <w:spacing w:before="0" w:after="200" w:line="276" w:lineRule="auto"/>
        <w:rPr>
          <w:rFonts w:asciiTheme="minorHAnsi" w:hAnsiTheme="minorHAnsi"/>
          <w:sz w:val="28"/>
          <w:szCs w:val="28"/>
        </w:rPr>
      </w:pPr>
    </w:p>
    <w:p w:rsidR="00A2372B" w:rsidRDefault="00A2372B" w:rsidP="00A2372B">
      <w:pPr>
        <w:widowControl/>
        <w:spacing w:before="0" w:after="200" w:line="276" w:lineRule="auto"/>
        <w:rPr>
          <w:rFonts w:asciiTheme="minorHAnsi" w:eastAsiaTheme="minorHAnsi" w:hAnsiTheme="minorHAnsi" w:cstheme="minorBidi"/>
          <w:sz w:val="28"/>
          <w:szCs w:val="28"/>
        </w:rPr>
      </w:pPr>
      <w:r>
        <w:rPr>
          <w:rFonts w:asciiTheme="minorHAnsi" w:hAnsiTheme="minorHAnsi"/>
          <w:sz w:val="28"/>
          <w:szCs w:val="28"/>
        </w:rPr>
        <w:t xml:space="preserve">This was despite the fact the other states use marks and successfully align them to standards. </w:t>
      </w:r>
      <w:r w:rsidRPr="00201CAD">
        <w:rPr>
          <w:rFonts w:asciiTheme="minorHAnsi" w:hAnsiTheme="minorHAnsi"/>
          <w:sz w:val="28"/>
          <w:szCs w:val="28"/>
        </w:rPr>
        <w:t>Thus we are applying a “band-aid” solution for the student cohort starting in 2014 while awaiting more fundamental changes in subsequent years. For this reason unfortunate compromises have been inevitable in designing his guide. This would not have been the case if the original syllabuses were not fundamentally flawed in the first place</w:t>
      </w:r>
      <w:r>
        <w:rPr>
          <w:rFonts w:asciiTheme="minorHAnsi" w:hAnsiTheme="minorHAnsi"/>
          <w:sz w:val="28"/>
          <w:szCs w:val="28"/>
        </w:rPr>
        <w:t xml:space="preserve"> and adopted the approaches elsewhere</w:t>
      </w:r>
      <w:r w:rsidRPr="00201CAD">
        <w:rPr>
          <w:rFonts w:asciiTheme="minorHAnsi" w:hAnsiTheme="minorHAnsi"/>
          <w:sz w:val="28"/>
          <w:szCs w:val="28"/>
        </w:rPr>
        <w:t xml:space="preserve">. This should be borne in mind while applying </w:t>
      </w:r>
      <w:r>
        <w:rPr>
          <w:rFonts w:asciiTheme="minorHAnsi" w:hAnsiTheme="minorHAnsi"/>
          <w:sz w:val="28"/>
          <w:szCs w:val="28"/>
        </w:rPr>
        <w:t>t</w:t>
      </w:r>
      <w:r w:rsidRPr="00201CAD">
        <w:rPr>
          <w:rFonts w:asciiTheme="minorHAnsi" w:hAnsiTheme="minorHAnsi"/>
          <w:sz w:val="28"/>
          <w:szCs w:val="28"/>
        </w:rPr>
        <w:t>he ideas of the guide.</w:t>
      </w:r>
      <w:r w:rsidRPr="00201CAD">
        <w:rPr>
          <w:sz w:val="28"/>
          <w:szCs w:val="28"/>
        </w:rPr>
        <w:t xml:space="preserve"> </w:t>
      </w:r>
      <w:r>
        <w:rPr>
          <w:sz w:val="28"/>
          <w:szCs w:val="28"/>
        </w:rPr>
        <w:br w:type="page"/>
      </w:r>
    </w:p>
    <w:p w:rsidR="00A2372B" w:rsidRPr="00201CAD" w:rsidRDefault="00A2372B" w:rsidP="00A2372B">
      <w:pPr>
        <w:pStyle w:val="NoSpacing"/>
        <w:rPr>
          <w:b/>
          <w:sz w:val="28"/>
          <w:szCs w:val="28"/>
        </w:rPr>
      </w:pPr>
      <w:r>
        <w:rPr>
          <w:b/>
          <w:sz w:val="28"/>
          <w:szCs w:val="28"/>
        </w:rPr>
        <w:lastRenderedPageBreak/>
        <w:t>Background</w:t>
      </w:r>
    </w:p>
    <w:p w:rsidR="00A2372B" w:rsidRDefault="00A2372B" w:rsidP="00A2372B">
      <w:pPr>
        <w:pStyle w:val="NoSpacing"/>
        <w:rPr>
          <w:sz w:val="28"/>
          <w:szCs w:val="28"/>
        </w:rPr>
      </w:pPr>
    </w:p>
    <w:p w:rsidR="00A2372B" w:rsidRDefault="00A2372B" w:rsidP="00A2372B">
      <w:pPr>
        <w:pStyle w:val="NoSpacing"/>
        <w:rPr>
          <w:sz w:val="28"/>
          <w:szCs w:val="28"/>
        </w:rPr>
      </w:pPr>
      <w:r w:rsidRPr="007376E6">
        <w:rPr>
          <w:sz w:val="28"/>
          <w:szCs w:val="28"/>
        </w:rPr>
        <w:t>The Education and Innovation Committee of the Queensland Parliament on October 14 2013 published the ‘</w:t>
      </w:r>
      <w:proofErr w:type="spellStart"/>
      <w:r w:rsidRPr="007376E6">
        <w:rPr>
          <w:sz w:val="28"/>
          <w:szCs w:val="28"/>
        </w:rPr>
        <w:t>Menkens</w:t>
      </w:r>
      <w:proofErr w:type="spellEnd"/>
      <w:r w:rsidRPr="007376E6">
        <w:rPr>
          <w:sz w:val="28"/>
          <w:szCs w:val="28"/>
        </w:rPr>
        <w:t xml:space="preserve"> Report’ comprising a summary, findings and recommendations produced as a result of the Parliamentary Inquiry into the assessment methods used in senior mathematics, chemistry and physics in Queensland schools (</w:t>
      </w:r>
      <w:hyperlink r:id="rId5" w:history="1">
        <w:r w:rsidRPr="00E8289A">
          <w:rPr>
            <w:rStyle w:val="Hyperlink"/>
            <w:sz w:val="28"/>
            <w:szCs w:val="28"/>
          </w:rPr>
          <w:t>http://www.parliament.qld.gov.au/documents/committees/EIC/2013/QldAssessment/rpt-025-14Oct2013.pdf</w:t>
        </w:r>
      </w:hyperlink>
      <w:r w:rsidRPr="007376E6">
        <w:rPr>
          <w:sz w:val="28"/>
          <w:szCs w:val="28"/>
        </w:rPr>
        <w:t>).</w:t>
      </w:r>
      <w:r>
        <w:rPr>
          <w:sz w:val="28"/>
          <w:szCs w:val="28"/>
        </w:rPr>
        <w:t xml:space="preserve"> </w:t>
      </w:r>
    </w:p>
    <w:p w:rsidR="00A2372B" w:rsidRDefault="00A2372B" w:rsidP="00A2372B">
      <w:pPr>
        <w:pStyle w:val="NoSpacing"/>
        <w:rPr>
          <w:sz w:val="28"/>
          <w:szCs w:val="28"/>
        </w:rPr>
      </w:pPr>
    </w:p>
    <w:p w:rsidR="00A2372B" w:rsidRDefault="00A2372B" w:rsidP="00A2372B">
      <w:pPr>
        <w:pStyle w:val="NoSpacing"/>
        <w:rPr>
          <w:sz w:val="28"/>
          <w:szCs w:val="28"/>
        </w:rPr>
      </w:pPr>
      <w:r>
        <w:rPr>
          <w:sz w:val="28"/>
          <w:szCs w:val="28"/>
        </w:rPr>
        <w:t>As a consequence t</w:t>
      </w:r>
      <w:r w:rsidRPr="007376E6">
        <w:rPr>
          <w:sz w:val="28"/>
          <w:szCs w:val="28"/>
        </w:rPr>
        <w:t>he Minister for Education</w:t>
      </w:r>
      <w:r>
        <w:rPr>
          <w:sz w:val="28"/>
          <w:szCs w:val="28"/>
        </w:rPr>
        <w:t xml:space="preserve"> has asked the Queensland Studies Authority to “</w:t>
      </w:r>
      <w:r w:rsidRPr="00544D41">
        <w:rPr>
          <w:sz w:val="28"/>
          <w:szCs w:val="28"/>
        </w:rPr>
        <w:t>write to all principals clarifying the use of numerical marking, and develop resources that explain how marks can be linked to syllabus standards and criteria</w:t>
      </w:r>
      <w:r>
        <w:rPr>
          <w:sz w:val="28"/>
          <w:szCs w:val="28"/>
        </w:rPr>
        <w:t>.”</w:t>
      </w:r>
    </w:p>
    <w:p w:rsidR="00A2372B" w:rsidRDefault="00A2372B" w:rsidP="00A2372B">
      <w:pPr>
        <w:pStyle w:val="NoSpacing"/>
        <w:rPr>
          <w:sz w:val="28"/>
          <w:szCs w:val="28"/>
        </w:rPr>
      </w:pPr>
    </w:p>
    <w:p w:rsidR="00A2372B" w:rsidRDefault="00A2372B" w:rsidP="00A2372B">
      <w:pPr>
        <w:pStyle w:val="NoSpacing"/>
        <w:rPr>
          <w:sz w:val="28"/>
          <w:szCs w:val="28"/>
        </w:rPr>
      </w:pPr>
      <w:r>
        <w:rPr>
          <w:sz w:val="28"/>
          <w:szCs w:val="28"/>
        </w:rPr>
        <w:t xml:space="preserve">This guide has been prepared by experienced senior science teachers to disseminate strategies and protocols for using marks in assessment instruments while still meeting the requirements of the current senior syllabuses for Chemistry, Physics and Biology. Specific examples for Chemistry have been supplied. </w:t>
      </w:r>
      <w:r w:rsidRPr="001901D7">
        <w:rPr>
          <w:sz w:val="28"/>
          <w:szCs w:val="28"/>
        </w:rPr>
        <w:t>A ‘minimalist’ approach has been adopted which would allow many schools to retain their current work programs and assessment packag</w:t>
      </w:r>
      <w:r>
        <w:rPr>
          <w:sz w:val="28"/>
          <w:szCs w:val="28"/>
        </w:rPr>
        <w:t>es with only modest</w:t>
      </w:r>
      <w:r w:rsidRPr="001901D7">
        <w:rPr>
          <w:sz w:val="28"/>
          <w:szCs w:val="28"/>
        </w:rPr>
        <w:t xml:space="preserve"> adjustments.</w:t>
      </w:r>
      <w:r>
        <w:rPr>
          <w:sz w:val="28"/>
          <w:szCs w:val="28"/>
        </w:rPr>
        <w:t xml:space="preserve"> It also provides a model of how the results from the instruments in a school work program can be combined in a student profile to determine an overall level of achievement and rung placement.</w:t>
      </w:r>
    </w:p>
    <w:p w:rsidR="00A2372B" w:rsidRDefault="00A2372B" w:rsidP="00A2372B">
      <w:pPr>
        <w:pStyle w:val="NoSpacing"/>
        <w:rPr>
          <w:sz w:val="28"/>
          <w:szCs w:val="28"/>
        </w:rPr>
      </w:pPr>
    </w:p>
    <w:p w:rsidR="00A2372B" w:rsidRPr="007376E6" w:rsidRDefault="00A2372B" w:rsidP="00A2372B">
      <w:pPr>
        <w:pStyle w:val="NoSpacing"/>
        <w:rPr>
          <w:sz w:val="28"/>
          <w:szCs w:val="28"/>
        </w:rPr>
      </w:pPr>
    </w:p>
    <w:p w:rsidR="00A2372B" w:rsidRDefault="00A2372B" w:rsidP="00A2372B">
      <w:pPr>
        <w:pStyle w:val="NoSpacing"/>
        <w:rPr>
          <w:sz w:val="28"/>
          <w:szCs w:val="28"/>
        </w:rPr>
      </w:pPr>
      <w:r>
        <w:rPr>
          <w:sz w:val="28"/>
          <w:szCs w:val="28"/>
          <w:u w:val="single"/>
        </w:rPr>
        <w:t>Aligning Marks and Percentages to the Criteria Standards</w:t>
      </w:r>
    </w:p>
    <w:p w:rsidR="00A2372B" w:rsidRPr="00330739" w:rsidRDefault="00A2372B" w:rsidP="00A2372B">
      <w:pPr>
        <w:pStyle w:val="NoSpacing"/>
        <w:rPr>
          <w:sz w:val="28"/>
          <w:szCs w:val="28"/>
        </w:rPr>
      </w:pPr>
    </w:p>
    <w:p w:rsidR="00A2372B" w:rsidRDefault="00A2372B" w:rsidP="00A2372B">
      <w:pPr>
        <w:pStyle w:val="NoSpacing"/>
        <w:rPr>
          <w:sz w:val="28"/>
          <w:szCs w:val="28"/>
        </w:rPr>
      </w:pPr>
      <w:r>
        <w:rPr>
          <w:sz w:val="28"/>
          <w:szCs w:val="28"/>
        </w:rPr>
        <w:t xml:space="preserve">Amongst the key recommendations of the </w:t>
      </w:r>
      <w:proofErr w:type="spellStart"/>
      <w:r>
        <w:rPr>
          <w:sz w:val="28"/>
          <w:szCs w:val="28"/>
        </w:rPr>
        <w:t>Menkens</w:t>
      </w:r>
      <w:proofErr w:type="spellEnd"/>
      <w:r>
        <w:rPr>
          <w:sz w:val="28"/>
          <w:szCs w:val="28"/>
        </w:rPr>
        <w:t xml:space="preserve"> Inquiry were</w:t>
      </w:r>
      <w:r w:rsidRPr="007376E6">
        <w:rPr>
          <w:sz w:val="28"/>
          <w:szCs w:val="28"/>
        </w:rPr>
        <w:t xml:space="preserve"> that</w:t>
      </w:r>
      <w:r>
        <w:rPr>
          <w:sz w:val="28"/>
          <w:szCs w:val="28"/>
        </w:rPr>
        <w:t xml:space="preserve"> </w:t>
      </w:r>
      <w:r w:rsidRPr="007376E6">
        <w:rPr>
          <w:sz w:val="28"/>
          <w:szCs w:val="28"/>
        </w:rPr>
        <w:t xml:space="preserve">numerical marking be reintroduced in maths </w:t>
      </w:r>
      <w:r>
        <w:rPr>
          <w:sz w:val="28"/>
          <w:szCs w:val="28"/>
        </w:rPr>
        <w:t xml:space="preserve">and science with mark ranges </w:t>
      </w:r>
      <w:r w:rsidRPr="007376E6">
        <w:rPr>
          <w:sz w:val="28"/>
          <w:szCs w:val="28"/>
        </w:rPr>
        <w:t>equating to each of the five standards o</w:t>
      </w:r>
      <w:r>
        <w:rPr>
          <w:sz w:val="28"/>
          <w:szCs w:val="28"/>
        </w:rPr>
        <w:t>f achievement for each of the three global objectives criteria. The inquiry</w:t>
      </w:r>
      <w:r w:rsidRPr="001901D7">
        <w:rPr>
          <w:sz w:val="28"/>
          <w:szCs w:val="28"/>
        </w:rPr>
        <w:t xml:space="preserve"> highlighted as an exemplar the Victorian model of marks aligned to criteria. In that state a 50 point scale is often used</w:t>
      </w:r>
      <w:r>
        <w:rPr>
          <w:sz w:val="28"/>
          <w:szCs w:val="28"/>
        </w:rPr>
        <w:t xml:space="preserve"> in senior science assessment with 10 points allocated to each of the five A-E bands. It provides a convenient model for the use of marks in Queensland assessment as the 50 point scale can be aligned to the 50 rungs available for student placement at verification (Figure 1).</w:t>
      </w:r>
    </w:p>
    <w:p w:rsidR="00A2372B" w:rsidRDefault="00A2372B" w:rsidP="00A2372B">
      <w:pPr>
        <w:pStyle w:val="NoSpacing"/>
        <w:rPr>
          <w:sz w:val="28"/>
          <w:szCs w:val="28"/>
        </w:rPr>
      </w:pPr>
    </w:p>
    <w:p w:rsidR="00A2372B" w:rsidRDefault="00A2372B" w:rsidP="00A2372B">
      <w:pPr>
        <w:pStyle w:val="NoSpacing"/>
        <w:rPr>
          <w:sz w:val="28"/>
          <w:szCs w:val="28"/>
        </w:rPr>
      </w:pPr>
    </w:p>
    <w:p w:rsidR="00A2372B" w:rsidRDefault="00A2372B" w:rsidP="00A2372B">
      <w:pPr>
        <w:widowControl/>
        <w:spacing w:before="0" w:after="200" w:line="276" w:lineRule="auto"/>
        <w:rPr>
          <w:rFonts w:asciiTheme="minorHAnsi" w:eastAsiaTheme="minorHAnsi" w:hAnsiTheme="minorHAnsi" w:cstheme="minorBidi"/>
          <w:sz w:val="28"/>
          <w:szCs w:val="28"/>
        </w:rPr>
      </w:pPr>
      <w:r>
        <w:rPr>
          <w:sz w:val="28"/>
          <w:szCs w:val="28"/>
        </w:rPr>
        <w:br w:type="page"/>
      </w:r>
    </w:p>
    <w:p w:rsidR="00A2372B" w:rsidRDefault="00A2372B" w:rsidP="00A2372B">
      <w:pPr>
        <w:pStyle w:val="NoSpacing"/>
        <w:rPr>
          <w:sz w:val="28"/>
          <w:szCs w:val="28"/>
        </w:rPr>
      </w:pPr>
      <w:r>
        <w:rPr>
          <w:sz w:val="28"/>
          <w:szCs w:val="28"/>
        </w:rPr>
        <w:lastRenderedPageBreak/>
        <w:t>Figure 1. Alignment of Standards and Exit Criteria to Percentages</w:t>
      </w:r>
    </w:p>
    <w:p w:rsidR="00A2372B" w:rsidRDefault="00A2372B" w:rsidP="00A2372B">
      <w:pPr>
        <w:pStyle w:val="NoSpacing"/>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1299"/>
        <w:gridCol w:w="1910"/>
        <w:gridCol w:w="1659"/>
        <w:gridCol w:w="1558"/>
        <w:gridCol w:w="1708"/>
        <w:gridCol w:w="1709"/>
      </w:tblGrid>
      <w:tr w:rsidR="00A2372B" w:rsidRPr="00244050" w:rsidTr="00EB036F">
        <w:trPr>
          <w:tblHeader/>
          <w:jc w:val="center"/>
        </w:trPr>
        <w:tc>
          <w:tcPr>
            <w:tcW w:w="1453" w:type="dxa"/>
            <w:tcBorders>
              <w:bottom w:val="single" w:sz="4" w:space="0" w:color="auto"/>
            </w:tcBorders>
            <w:shd w:val="clear" w:color="auto" w:fill="E6E6E6"/>
          </w:tcPr>
          <w:p w:rsidR="00A2372B" w:rsidRPr="00E404F8" w:rsidRDefault="00A2372B" w:rsidP="00EB036F">
            <w:pPr>
              <w:pStyle w:val="Tableheading"/>
              <w:rPr>
                <w:rFonts w:asciiTheme="minorHAnsi" w:hAnsiTheme="minorHAnsi"/>
              </w:rPr>
            </w:pPr>
            <w:r w:rsidRPr="00E404F8">
              <w:rPr>
                <w:rFonts w:asciiTheme="minorHAnsi" w:hAnsiTheme="minorHAnsi"/>
              </w:rPr>
              <w:t>Criterion</w:t>
            </w:r>
          </w:p>
        </w:tc>
        <w:tc>
          <w:tcPr>
            <w:tcW w:w="2856" w:type="dxa"/>
            <w:tcBorders>
              <w:bottom w:val="single" w:sz="4" w:space="0" w:color="auto"/>
            </w:tcBorders>
            <w:shd w:val="clear" w:color="auto" w:fill="E6E6E6"/>
          </w:tcPr>
          <w:p w:rsidR="00A2372B" w:rsidRPr="00E404F8" w:rsidRDefault="00A2372B" w:rsidP="00EB036F">
            <w:pPr>
              <w:pStyle w:val="Tableheading"/>
              <w:rPr>
                <w:rFonts w:asciiTheme="minorHAnsi" w:hAnsiTheme="minorHAnsi"/>
              </w:rPr>
            </w:pPr>
            <w:r w:rsidRPr="00E404F8">
              <w:rPr>
                <w:rFonts w:asciiTheme="minorHAnsi" w:hAnsiTheme="minorHAnsi"/>
              </w:rPr>
              <w:t>A</w:t>
            </w:r>
          </w:p>
        </w:tc>
        <w:tc>
          <w:tcPr>
            <w:tcW w:w="2410" w:type="dxa"/>
            <w:tcBorders>
              <w:bottom w:val="single" w:sz="4" w:space="0" w:color="auto"/>
            </w:tcBorders>
            <w:shd w:val="clear" w:color="auto" w:fill="E6E6E6"/>
          </w:tcPr>
          <w:p w:rsidR="00A2372B" w:rsidRPr="00E404F8" w:rsidRDefault="00A2372B" w:rsidP="00EB036F">
            <w:pPr>
              <w:pStyle w:val="Tableheading"/>
              <w:rPr>
                <w:rFonts w:asciiTheme="minorHAnsi" w:hAnsiTheme="minorHAnsi"/>
              </w:rPr>
            </w:pPr>
            <w:r w:rsidRPr="00E404F8">
              <w:rPr>
                <w:rFonts w:asciiTheme="minorHAnsi" w:hAnsiTheme="minorHAnsi"/>
              </w:rPr>
              <w:t>B</w:t>
            </w:r>
          </w:p>
        </w:tc>
        <w:tc>
          <w:tcPr>
            <w:tcW w:w="2232" w:type="dxa"/>
            <w:tcBorders>
              <w:bottom w:val="single" w:sz="4" w:space="0" w:color="auto"/>
            </w:tcBorders>
            <w:shd w:val="clear" w:color="auto" w:fill="E6E6E6"/>
          </w:tcPr>
          <w:p w:rsidR="00A2372B" w:rsidRPr="00E404F8" w:rsidRDefault="00A2372B" w:rsidP="00EB036F">
            <w:pPr>
              <w:pStyle w:val="Tableheading"/>
              <w:rPr>
                <w:rFonts w:asciiTheme="minorHAnsi" w:hAnsiTheme="minorHAnsi"/>
              </w:rPr>
            </w:pPr>
            <w:r w:rsidRPr="00E404F8">
              <w:rPr>
                <w:rFonts w:asciiTheme="minorHAnsi" w:hAnsiTheme="minorHAnsi"/>
              </w:rPr>
              <w:t>C</w:t>
            </w:r>
          </w:p>
        </w:tc>
        <w:tc>
          <w:tcPr>
            <w:tcW w:w="2498" w:type="dxa"/>
            <w:tcBorders>
              <w:bottom w:val="single" w:sz="4" w:space="0" w:color="auto"/>
            </w:tcBorders>
            <w:shd w:val="clear" w:color="auto" w:fill="E6E6E6"/>
          </w:tcPr>
          <w:p w:rsidR="00A2372B" w:rsidRPr="00E404F8" w:rsidRDefault="00A2372B" w:rsidP="00EB036F">
            <w:pPr>
              <w:pStyle w:val="Tableheading"/>
              <w:rPr>
                <w:rFonts w:asciiTheme="minorHAnsi" w:hAnsiTheme="minorHAnsi"/>
              </w:rPr>
            </w:pPr>
            <w:r w:rsidRPr="00E404F8">
              <w:rPr>
                <w:rFonts w:asciiTheme="minorHAnsi" w:hAnsiTheme="minorHAnsi"/>
              </w:rPr>
              <w:t>D</w:t>
            </w:r>
          </w:p>
        </w:tc>
        <w:tc>
          <w:tcPr>
            <w:tcW w:w="2499" w:type="dxa"/>
            <w:tcBorders>
              <w:bottom w:val="single" w:sz="4" w:space="0" w:color="auto"/>
            </w:tcBorders>
            <w:shd w:val="clear" w:color="auto" w:fill="E6E6E6"/>
          </w:tcPr>
          <w:p w:rsidR="00A2372B" w:rsidRPr="00E404F8" w:rsidRDefault="00A2372B" w:rsidP="00EB036F">
            <w:pPr>
              <w:pStyle w:val="Tableheading"/>
              <w:rPr>
                <w:rFonts w:asciiTheme="minorHAnsi" w:hAnsiTheme="minorHAnsi"/>
              </w:rPr>
            </w:pPr>
            <w:r w:rsidRPr="00E404F8">
              <w:rPr>
                <w:rFonts w:asciiTheme="minorHAnsi" w:hAnsiTheme="minorHAnsi"/>
              </w:rPr>
              <w:t>E</w:t>
            </w:r>
          </w:p>
        </w:tc>
      </w:tr>
      <w:tr w:rsidR="00A2372B" w:rsidRPr="00244050" w:rsidTr="00EB036F">
        <w:trPr>
          <w:tblHeader/>
          <w:jc w:val="center"/>
        </w:trPr>
        <w:tc>
          <w:tcPr>
            <w:tcW w:w="1453" w:type="dxa"/>
            <w:tcBorders>
              <w:bottom w:val="single" w:sz="4" w:space="0" w:color="auto"/>
            </w:tcBorders>
            <w:shd w:val="clear" w:color="auto" w:fill="E6E6E6"/>
          </w:tcPr>
          <w:p w:rsidR="00A2372B" w:rsidRPr="00E404F8" w:rsidRDefault="00A2372B" w:rsidP="00EB036F">
            <w:pPr>
              <w:pStyle w:val="Tableheading"/>
              <w:rPr>
                <w:rFonts w:asciiTheme="minorHAnsi" w:hAnsiTheme="minorHAnsi"/>
              </w:rPr>
            </w:pPr>
          </w:p>
        </w:tc>
        <w:tc>
          <w:tcPr>
            <w:tcW w:w="2856" w:type="dxa"/>
            <w:tcBorders>
              <w:bottom w:val="single" w:sz="4" w:space="0" w:color="auto"/>
            </w:tcBorders>
            <w:shd w:val="clear" w:color="auto" w:fill="E6E6E6"/>
          </w:tcPr>
          <w:p w:rsidR="00A2372B" w:rsidRPr="00E404F8" w:rsidRDefault="00A2372B" w:rsidP="00EB036F">
            <w:pPr>
              <w:pStyle w:val="Tableheading"/>
              <w:jc w:val="right"/>
              <w:rPr>
                <w:rFonts w:asciiTheme="minorHAnsi" w:hAnsiTheme="minorHAnsi"/>
                <w:color w:val="FF0000"/>
              </w:rPr>
            </w:pPr>
            <w:r w:rsidRPr="00E404F8">
              <w:rPr>
                <w:rFonts w:asciiTheme="minorHAnsi" w:hAnsiTheme="minorHAnsi"/>
                <w:color w:val="FF0000"/>
              </w:rPr>
              <w:t>&gt; 80%</w:t>
            </w:r>
          </w:p>
        </w:tc>
        <w:tc>
          <w:tcPr>
            <w:tcW w:w="2410" w:type="dxa"/>
            <w:tcBorders>
              <w:bottom w:val="single" w:sz="4" w:space="0" w:color="auto"/>
            </w:tcBorders>
            <w:shd w:val="clear" w:color="auto" w:fill="E6E6E6"/>
          </w:tcPr>
          <w:p w:rsidR="00A2372B" w:rsidRPr="00E404F8" w:rsidRDefault="00A2372B" w:rsidP="00EB036F">
            <w:pPr>
              <w:pStyle w:val="Tableheading"/>
              <w:jc w:val="right"/>
              <w:rPr>
                <w:rFonts w:asciiTheme="minorHAnsi" w:hAnsiTheme="minorHAnsi"/>
                <w:color w:val="FF0000"/>
              </w:rPr>
            </w:pPr>
            <w:r w:rsidRPr="00E404F8">
              <w:rPr>
                <w:rFonts w:asciiTheme="minorHAnsi" w:hAnsiTheme="minorHAnsi"/>
                <w:color w:val="FF0000"/>
              </w:rPr>
              <w:t>&gt; 60%</w:t>
            </w:r>
          </w:p>
        </w:tc>
        <w:tc>
          <w:tcPr>
            <w:tcW w:w="2232" w:type="dxa"/>
            <w:tcBorders>
              <w:bottom w:val="single" w:sz="4" w:space="0" w:color="auto"/>
            </w:tcBorders>
            <w:shd w:val="clear" w:color="auto" w:fill="E6E6E6"/>
          </w:tcPr>
          <w:p w:rsidR="00A2372B" w:rsidRPr="00E404F8" w:rsidRDefault="00A2372B" w:rsidP="00EB036F">
            <w:pPr>
              <w:pStyle w:val="Tableheading"/>
              <w:jc w:val="right"/>
              <w:rPr>
                <w:rFonts w:asciiTheme="minorHAnsi" w:hAnsiTheme="minorHAnsi"/>
                <w:color w:val="FF0000"/>
              </w:rPr>
            </w:pPr>
            <w:r w:rsidRPr="00E404F8">
              <w:rPr>
                <w:rFonts w:asciiTheme="minorHAnsi" w:hAnsiTheme="minorHAnsi"/>
                <w:color w:val="FF0000"/>
              </w:rPr>
              <w:t>&gt; 40%</w:t>
            </w:r>
          </w:p>
        </w:tc>
        <w:tc>
          <w:tcPr>
            <w:tcW w:w="2498" w:type="dxa"/>
            <w:tcBorders>
              <w:bottom w:val="single" w:sz="4" w:space="0" w:color="auto"/>
            </w:tcBorders>
            <w:shd w:val="clear" w:color="auto" w:fill="E6E6E6"/>
          </w:tcPr>
          <w:p w:rsidR="00A2372B" w:rsidRPr="00E404F8" w:rsidRDefault="00A2372B" w:rsidP="00EB036F">
            <w:pPr>
              <w:pStyle w:val="Tableheading"/>
              <w:jc w:val="right"/>
              <w:rPr>
                <w:rFonts w:asciiTheme="minorHAnsi" w:hAnsiTheme="minorHAnsi"/>
                <w:color w:val="FF0000"/>
              </w:rPr>
            </w:pPr>
            <w:r w:rsidRPr="00E404F8">
              <w:rPr>
                <w:rFonts w:asciiTheme="minorHAnsi" w:hAnsiTheme="minorHAnsi"/>
                <w:color w:val="FF0000"/>
              </w:rPr>
              <w:t>&gt; 20%</w:t>
            </w:r>
          </w:p>
        </w:tc>
        <w:tc>
          <w:tcPr>
            <w:tcW w:w="2499" w:type="dxa"/>
            <w:tcBorders>
              <w:bottom w:val="single" w:sz="4" w:space="0" w:color="auto"/>
            </w:tcBorders>
            <w:shd w:val="clear" w:color="auto" w:fill="E6E6E6"/>
          </w:tcPr>
          <w:p w:rsidR="00A2372B" w:rsidRPr="00E404F8" w:rsidRDefault="00A2372B" w:rsidP="00EB036F">
            <w:pPr>
              <w:pStyle w:val="Tableheading"/>
              <w:rPr>
                <w:rFonts w:asciiTheme="minorHAnsi" w:hAnsiTheme="minorHAnsi"/>
                <w:color w:val="FF0000"/>
              </w:rPr>
            </w:pPr>
            <w:r w:rsidRPr="00E404F8">
              <w:rPr>
                <w:rFonts w:asciiTheme="minorHAnsi" w:hAnsiTheme="minorHAnsi"/>
                <w:color w:val="FF0000"/>
              </w:rPr>
              <w:t>&lt; 20%</w:t>
            </w:r>
          </w:p>
        </w:tc>
      </w:tr>
      <w:tr w:rsidR="00A2372B" w:rsidRPr="00244050" w:rsidTr="00EB036F">
        <w:trPr>
          <w:jc w:val="center"/>
        </w:trPr>
        <w:tc>
          <w:tcPr>
            <w:tcW w:w="1453" w:type="dxa"/>
            <w:vMerge w:val="restart"/>
            <w:tcBorders>
              <w:top w:val="single" w:sz="4" w:space="0" w:color="auto"/>
            </w:tcBorders>
          </w:tcPr>
          <w:p w:rsidR="00A2372B" w:rsidRPr="00244050" w:rsidRDefault="00A2372B" w:rsidP="00EB036F">
            <w:pPr>
              <w:rPr>
                <w:rFonts w:ascii="Arial" w:hAnsi="Arial" w:cs="Arial"/>
                <w:sz w:val="12"/>
                <w:szCs w:val="12"/>
              </w:rPr>
            </w:pPr>
            <w:r w:rsidRPr="00244050">
              <w:rPr>
                <w:rFonts w:ascii="Arial" w:hAnsi="Arial" w:cs="Arial"/>
                <w:i/>
                <w:sz w:val="12"/>
                <w:szCs w:val="12"/>
              </w:rPr>
              <w:t>Knowledge and conceptual understanding</w:t>
            </w:r>
            <w:r w:rsidRPr="00244050" w:rsidDel="00CE3BD9">
              <w:rPr>
                <w:rFonts w:ascii="Arial" w:hAnsi="Arial" w:cs="Arial"/>
                <w:sz w:val="12"/>
                <w:szCs w:val="12"/>
              </w:rPr>
              <w:t xml:space="preserve"> </w:t>
            </w:r>
          </w:p>
        </w:tc>
        <w:tc>
          <w:tcPr>
            <w:tcW w:w="2856" w:type="dxa"/>
            <w:tcBorders>
              <w:top w:val="single" w:sz="4" w:space="0" w:color="auto"/>
              <w:bottom w:val="nil"/>
            </w:tcBorders>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410" w:type="dxa"/>
            <w:tcBorders>
              <w:top w:val="single" w:sz="4" w:space="0" w:color="auto"/>
              <w:bottom w:val="nil"/>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232" w:type="dxa"/>
            <w:tcBorders>
              <w:top w:val="single" w:sz="4" w:space="0" w:color="auto"/>
              <w:bottom w:val="nil"/>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498" w:type="dxa"/>
            <w:tcBorders>
              <w:top w:val="single" w:sz="4" w:space="0" w:color="auto"/>
              <w:bottom w:val="nil"/>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499" w:type="dxa"/>
            <w:tcBorders>
              <w:top w:val="single" w:sz="4" w:space="0" w:color="auto"/>
              <w:bottom w:val="nil"/>
            </w:tcBorders>
            <w:shd w:val="clear" w:color="auto" w:fill="auto"/>
          </w:tcPr>
          <w:p w:rsidR="00A2372B" w:rsidRPr="00244050" w:rsidRDefault="00A2372B" w:rsidP="00EB036F">
            <w:pPr>
              <w:pStyle w:val="Tablebullets"/>
              <w:widowControl w:val="0"/>
              <w:numPr>
                <w:ilvl w:val="0"/>
                <w:numId w:val="0"/>
              </w:numPr>
              <w:tabs>
                <w:tab w:val="left" w:pos="170"/>
              </w:tabs>
              <w:ind w:left="170"/>
              <w:rPr>
                <w:spacing w:val="-4"/>
                <w:sz w:val="12"/>
                <w:szCs w:val="12"/>
                <w:lang w:val="en-AU"/>
              </w:rPr>
            </w:pPr>
          </w:p>
        </w:tc>
      </w:tr>
      <w:tr w:rsidR="00A2372B" w:rsidRPr="00244050" w:rsidTr="00EB036F">
        <w:trPr>
          <w:jc w:val="center"/>
        </w:trPr>
        <w:tc>
          <w:tcPr>
            <w:tcW w:w="1453" w:type="dxa"/>
            <w:vMerge/>
          </w:tcPr>
          <w:p w:rsidR="00A2372B" w:rsidRPr="00244050" w:rsidRDefault="00A2372B" w:rsidP="00EB036F">
            <w:pPr>
              <w:rPr>
                <w:rFonts w:ascii="Arial" w:hAnsi="Arial" w:cs="Arial"/>
                <w:i/>
                <w:sz w:val="12"/>
                <w:szCs w:val="12"/>
              </w:rPr>
            </w:pPr>
          </w:p>
        </w:tc>
        <w:tc>
          <w:tcPr>
            <w:tcW w:w="2856" w:type="dxa"/>
            <w:tcBorders>
              <w:top w:val="nil"/>
              <w:bottom w:val="nil"/>
            </w:tcBorders>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410" w:type="dxa"/>
            <w:tcBorders>
              <w:top w:val="nil"/>
              <w:bottom w:val="nil"/>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232" w:type="dxa"/>
            <w:tcBorders>
              <w:top w:val="nil"/>
              <w:bottom w:val="nil"/>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498" w:type="dxa"/>
            <w:tcBorders>
              <w:top w:val="nil"/>
              <w:bottom w:val="nil"/>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499" w:type="dxa"/>
            <w:tcBorders>
              <w:top w:val="nil"/>
              <w:bottom w:val="nil"/>
            </w:tcBorders>
            <w:shd w:val="clear" w:color="auto" w:fill="auto"/>
          </w:tcPr>
          <w:p w:rsidR="00A2372B" w:rsidRPr="00244050" w:rsidRDefault="00A2372B" w:rsidP="00EB036F">
            <w:pPr>
              <w:pStyle w:val="Tablebullets"/>
              <w:widowControl w:val="0"/>
              <w:numPr>
                <w:ilvl w:val="0"/>
                <w:numId w:val="0"/>
              </w:numPr>
              <w:tabs>
                <w:tab w:val="left" w:pos="170"/>
              </w:tabs>
              <w:ind w:left="142" w:hanging="142"/>
              <w:rPr>
                <w:spacing w:val="-4"/>
                <w:sz w:val="12"/>
                <w:szCs w:val="12"/>
                <w:lang w:val="en-AU"/>
              </w:rPr>
            </w:pPr>
          </w:p>
        </w:tc>
      </w:tr>
      <w:tr w:rsidR="00A2372B" w:rsidRPr="00244050" w:rsidTr="00EB036F">
        <w:trPr>
          <w:jc w:val="center"/>
        </w:trPr>
        <w:tc>
          <w:tcPr>
            <w:tcW w:w="1453" w:type="dxa"/>
            <w:vMerge/>
          </w:tcPr>
          <w:p w:rsidR="00A2372B" w:rsidRPr="00244050" w:rsidRDefault="00A2372B" w:rsidP="00EB036F">
            <w:pPr>
              <w:rPr>
                <w:rFonts w:ascii="Arial" w:hAnsi="Arial" w:cs="Arial"/>
                <w:i/>
                <w:sz w:val="12"/>
                <w:szCs w:val="12"/>
              </w:rPr>
            </w:pPr>
          </w:p>
        </w:tc>
        <w:tc>
          <w:tcPr>
            <w:tcW w:w="2856" w:type="dxa"/>
            <w:tcBorders>
              <w:top w:val="nil"/>
            </w:tcBorders>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410" w:type="dxa"/>
            <w:tcBorders>
              <w:top w:val="nil"/>
            </w:tcBorders>
            <w:shd w:val="clear" w:color="auto" w:fill="auto"/>
          </w:tcPr>
          <w:p w:rsidR="00A2372B" w:rsidRPr="00244050" w:rsidRDefault="00A2372B" w:rsidP="00EB036F">
            <w:pPr>
              <w:pStyle w:val="Tablebullets"/>
              <w:widowControl w:val="0"/>
              <w:numPr>
                <w:ilvl w:val="0"/>
                <w:numId w:val="0"/>
              </w:numPr>
              <w:tabs>
                <w:tab w:val="left" w:pos="170"/>
              </w:tabs>
              <w:spacing w:after="120"/>
              <w:ind w:left="170"/>
              <w:rPr>
                <w:sz w:val="12"/>
                <w:szCs w:val="12"/>
                <w:lang w:val="en-AU"/>
              </w:rPr>
            </w:pPr>
          </w:p>
        </w:tc>
        <w:tc>
          <w:tcPr>
            <w:tcW w:w="2232" w:type="dxa"/>
            <w:tcBorders>
              <w:top w:val="nil"/>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498" w:type="dxa"/>
            <w:tcBorders>
              <w:top w:val="nil"/>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499" w:type="dxa"/>
            <w:tcBorders>
              <w:top w:val="nil"/>
            </w:tcBorders>
            <w:shd w:val="clear" w:color="auto" w:fill="auto"/>
          </w:tcPr>
          <w:p w:rsidR="00A2372B" w:rsidRPr="00244050" w:rsidRDefault="00A2372B" w:rsidP="00EB036F">
            <w:pPr>
              <w:pStyle w:val="Tablebullets"/>
              <w:widowControl w:val="0"/>
              <w:numPr>
                <w:ilvl w:val="0"/>
                <w:numId w:val="0"/>
              </w:numPr>
              <w:tabs>
                <w:tab w:val="left" w:pos="170"/>
              </w:tabs>
              <w:ind w:left="170"/>
              <w:rPr>
                <w:spacing w:val="-4"/>
                <w:sz w:val="12"/>
                <w:szCs w:val="12"/>
                <w:lang w:val="en-AU"/>
              </w:rPr>
            </w:pPr>
          </w:p>
        </w:tc>
      </w:tr>
      <w:tr w:rsidR="00A2372B" w:rsidRPr="00244050" w:rsidTr="00EB036F">
        <w:trPr>
          <w:jc w:val="center"/>
        </w:trPr>
        <w:tc>
          <w:tcPr>
            <w:tcW w:w="1453" w:type="dxa"/>
            <w:vMerge w:val="restart"/>
          </w:tcPr>
          <w:p w:rsidR="00A2372B" w:rsidRPr="00244050" w:rsidRDefault="00A2372B" w:rsidP="00EB036F">
            <w:pPr>
              <w:rPr>
                <w:rFonts w:ascii="Arial" w:hAnsi="Arial" w:cs="Arial"/>
                <w:i/>
                <w:sz w:val="12"/>
                <w:szCs w:val="12"/>
              </w:rPr>
            </w:pPr>
            <w:r w:rsidRPr="00244050">
              <w:rPr>
                <w:rFonts w:ascii="Arial" w:hAnsi="Arial" w:cs="Arial"/>
                <w:i/>
                <w:sz w:val="12"/>
                <w:szCs w:val="12"/>
              </w:rPr>
              <w:t xml:space="preserve">Investigative processes </w:t>
            </w:r>
          </w:p>
        </w:tc>
        <w:tc>
          <w:tcPr>
            <w:tcW w:w="2856" w:type="dxa"/>
            <w:tcBorders>
              <w:bottom w:val="nil"/>
            </w:tcBorders>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410" w:type="dxa"/>
            <w:tcBorders>
              <w:bottom w:val="nil"/>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232" w:type="dxa"/>
            <w:tcBorders>
              <w:bottom w:val="nil"/>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498" w:type="dxa"/>
            <w:tcBorders>
              <w:bottom w:val="nil"/>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499" w:type="dxa"/>
            <w:tcBorders>
              <w:bottom w:val="nil"/>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r>
      <w:tr w:rsidR="00A2372B" w:rsidRPr="00244050" w:rsidTr="00EB036F">
        <w:trPr>
          <w:jc w:val="center"/>
        </w:trPr>
        <w:tc>
          <w:tcPr>
            <w:tcW w:w="1453" w:type="dxa"/>
            <w:vMerge/>
          </w:tcPr>
          <w:p w:rsidR="00A2372B" w:rsidRPr="00244050" w:rsidRDefault="00A2372B" w:rsidP="00EB036F">
            <w:pPr>
              <w:rPr>
                <w:rFonts w:ascii="Arial" w:hAnsi="Arial" w:cs="Arial"/>
                <w:i/>
                <w:sz w:val="12"/>
                <w:szCs w:val="12"/>
              </w:rPr>
            </w:pPr>
          </w:p>
        </w:tc>
        <w:tc>
          <w:tcPr>
            <w:tcW w:w="2856" w:type="dxa"/>
            <w:tcBorders>
              <w:top w:val="nil"/>
              <w:bottom w:val="nil"/>
            </w:tcBorders>
          </w:tcPr>
          <w:p w:rsidR="00A2372B" w:rsidRPr="00244050" w:rsidRDefault="00A2372B" w:rsidP="00EB036F">
            <w:pPr>
              <w:pStyle w:val="Tablebullets"/>
              <w:widowControl w:val="0"/>
              <w:numPr>
                <w:ilvl w:val="0"/>
                <w:numId w:val="0"/>
              </w:numPr>
              <w:tabs>
                <w:tab w:val="left" w:pos="170"/>
              </w:tabs>
              <w:spacing w:before="60"/>
              <w:ind w:left="170"/>
              <w:rPr>
                <w:sz w:val="12"/>
                <w:szCs w:val="12"/>
                <w:lang w:val="en-AU"/>
              </w:rPr>
            </w:pPr>
          </w:p>
        </w:tc>
        <w:tc>
          <w:tcPr>
            <w:tcW w:w="2410" w:type="dxa"/>
            <w:tcBorders>
              <w:top w:val="nil"/>
              <w:bottom w:val="nil"/>
            </w:tcBorders>
            <w:shd w:val="clear" w:color="auto" w:fill="auto"/>
          </w:tcPr>
          <w:p w:rsidR="00A2372B" w:rsidRPr="00244050" w:rsidRDefault="00A2372B" w:rsidP="00EB036F">
            <w:pPr>
              <w:pStyle w:val="Tablebullets"/>
              <w:widowControl w:val="0"/>
              <w:numPr>
                <w:ilvl w:val="0"/>
                <w:numId w:val="0"/>
              </w:numPr>
              <w:tabs>
                <w:tab w:val="left" w:pos="170"/>
              </w:tabs>
              <w:spacing w:before="60"/>
              <w:ind w:left="170"/>
              <w:rPr>
                <w:sz w:val="12"/>
                <w:szCs w:val="12"/>
                <w:lang w:val="en-AU"/>
              </w:rPr>
            </w:pPr>
          </w:p>
        </w:tc>
        <w:tc>
          <w:tcPr>
            <w:tcW w:w="2232" w:type="dxa"/>
            <w:tcBorders>
              <w:top w:val="nil"/>
              <w:bottom w:val="nil"/>
            </w:tcBorders>
            <w:shd w:val="clear" w:color="auto" w:fill="auto"/>
          </w:tcPr>
          <w:p w:rsidR="00A2372B" w:rsidRPr="00244050" w:rsidRDefault="00A2372B" w:rsidP="00EB036F">
            <w:pPr>
              <w:pStyle w:val="Tablebullets"/>
              <w:widowControl w:val="0"/>
              <w:numPr>
                <w:ilvl w:val="0"/>
                <w:numId w:val="0"/>
              </w:numPr>
              <w:tabs>
                <w:tab w:val="left" w:pos="170"/>
              </w:tabs>
              <w:spacing w:before="60"/>
              <w:ind w:left="170"/>
              <w:rPr>
                <w:sz w:val="12"/>
                <w:szCs w:val="12"/>
                <w:lang w:val="en-AU"/>
              </w:rPr>
            </w:pPr>
          </w:p>
        </w:tc>
        <w:tc>
          <w:tcPr>
            <w:tcW w:w="2498" w:type="dxa"/>
            <w:tcBorders>
              <w:top w:val="nil"/>
              <w:bottom w:val="nil"/>
            </w:tcBorders>
            <w:shd w:val="clear" w:color="auto" w:fill="auto"/>
          </w:tcPr>
          <w:p w:rsidR="00A2372B" w:rsidRPr="00244050" w:rsidRDefault="00A2372B" w:rsidP="00EB036F">
            <w:pPr>
              <w:pStyle w:val="Tablebullets"/>
              <w:widowControl w:val="0"/>
              <w:numPr>
                <w:ilvl w:val="0"/>
                <w:numId w:val="0"/>
              </w:numPr>
              <w:tabs>
                <w:tab w:val="left" w:pos="170"/>
              </w:tabs>
              <w:spacing w:before="60"/>
              <w:ind w:left="170"/>
              <w:rPr>
                <w:sz w:val="12"/>
                <w:szCs w:val="12"/>
                <w:lang w:val="en-AU"/>
              </w:rPr>
            </w:pPr>
          </w:p>
        </w:tc>
        <w:tc>
          <w:tcPr>
            <w:tcW w:w="2499" w:type="dxa"/>
            <w:tcBorders>
              <w:top w:val="nil"/>
              <w:bottom w:val="nil"/>
            </w:tcBorders>
            <w:shd w:val="clear" w:color="auto" w:fill="auto"/>
          </w:tcPr>
          <w:p w:rsidR="00A2372B" w:rsidRPr="00244050" w:rsidRDefault="00A2372B" w:rsidP="00EB036F">
            <w:pPr>
              <w:pStyle w:val="Tablebullets"/>
              <w:widowControl w:val="0"/>
              <w:numPr>
                <w:ilvl w:val="0"/>
                <w:numId w:val="0"/>
              </w:numPr>
              <w:tabs>
                <w:tab w:val="left" w:pos="170"/>
              </w:tabs>
              <w:spacing w:before="60"/>
              <w:ind w:left="170"/>
              <w:rPr>
                <w:spacing w:val="-4"/>
                <w:sz w:val="12"/>
                <w:szCs w:val="12"/>
                <w:lang w:val="en-AU"/>
              </w:rPr>
            </w:pPr>
          </w:p>
        </w:tc>
      </w:tr>
      <w:tr w:rsidR="00A2372B" w:rsidRPr="00244050" w:rsidTr="00EB036F">
        <w:trPr>
          <w:jc w:val="center"/>
        </w:trPr>
        <w:tc>
          <w:tcPr>
            <w:tcW w:w="1453" w:type="dxa"/>
            <w:vMerge/>
            <w:tcBorders>
              <w:bottom w:val="single" w:sz="4" w:space="0" w:color="auto"/>
            </w:tcBorders>
          </w:tcPr>
          <w:p w:rsidR="00A2372B" w:rsidRPr="00244050" w:rsidRDefault="00A2372B" w:rsidP="00EB036F">
            <w:pPr>
              <w:rPr>
                <w:rFonts w:ascii="Arial" w:hAnsi="Arial" w:cs="Arial"/>
                <w:i/>
                <w:sz w:val="12"/>
                <w:szCs w:val="12"/>
              </w:rPr>
            </w:pPr>
          </w:p>
        </w:tc>
        <w:tc>
          <w:tcPr>
            <w:tcW w:w="2856" w:type="dxa"/>
            <w:tcBorders>
              <w:top w:val="nil"/>
              <w:bottom w:val="single" w:sz="4" w:space="0" w:color="auto"/>
            </w:tcBorders>
          </w:tcPr>
          <w:p w:rsidR="00A2372B" w:rsidRPr="00244050" w:rsidRDefault="00A2372B" w:rsidP="00EB036F">
            <w:pPr>
              <w:pStyle w:val="Tablebullets"/>
              <w:widowControl w:val="0"/>
              <w:numPr>
                <w:ilvl w:val="0"/>
                <w:numId w:val="0"/>
              </w:numPr>
              <w:tabs>
                <w:tab w:val="left" w:pos="170"/>
              </w:tabs>
              <w:spacing w:after="120"/>
              <w:ind w:left="170"/>
              <w:rPr>
                <w:sz w:val="12"/>
                <w:szCs w:val="12"/>
                <w:lang w:val="en-AU"/>
              </w:rPr>
            </w:pPr>
          </w:p>
        </w:tc>
        <w:tc>
          <w:tcPr>
            <w:tcW w:w="2410" w:type="dxa"/>
            <w:tcBorders>
              <w:top w:val="nil"/>
              <w:bottom w:val="single" w:sz="4" w:space="0" w:color="auto"/>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232" w:type="dxa"/>
            <w:tcBorders>
              <w:top w:val="nil"/>
              <w:bottom w:val="single" w:sz="4" w:space="0" w:color="auto"/>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498" w:type="dxa"/>
            <w:tcBorders>
              <w:top w:val="nil"/>
              <w:bottom w:val="single" w:sz="4" w:space="0" w:color="auto"/>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499" w:type="dxa"/>
            <w:tcBorders>
              <w:top w:val="nil"/>
              <w:bottom w:val="single" w:sz="4" w:space="0" w:color="auto"/>
            </w:tcBorders>
            <w:shd w:val="clear" w:color="auto" w:fill="auto"/>
          </w:tcPr>
          <w:p w:rsidR="00A2372B" w:rsidRPr="00244050" w:rsidRDefault="00A2372B" w:rsidP="00EB036F">
            <w:pPr>
              <w:pStyle w:val="Tablebullets"/>
              <w:widowControl w:val="0"/>
              <w:numPr>
                <w:ilvl w:val="0"/>
                <w:numId w:val="0"/>
              </w:numPr>
              <w:tabs>
                <w:tab w:val="left" w:pos="170"/>
              </w:tabs>
              <w:ind w:left="170"/>
              <w:rPr>
                <w:spacing w:val="-4"/>
                <w:sz w:val="12"/>
                <w:szCs w:val="12"/>
                <w:lang w:val="en-AU"/>
              </w:rPr>
            </w:pPr>
          </w:p>
        </w:tc>
      </w:tr>
      <w:tr w:rsidR="00A2372B" w:rsidRPr="00244050" w:rsidTr="00EB036F">
        <w:trPr>
          <w:cantSplit/>
          <w:jc w:val="center"/>
        </w:trPr>
        <w:tc>
          <w:tcPr>
            <w:tcW w:w="1453" w:type="dxa"/>
            <w:vMerge w:val="restart"/>
            <w:tcBorders>
              <w:top w:val="single" w:sz="4" w:space="0" w:color="auto"/>
            </w:tcBorders>
          </w:tcPr>
          <w:p w:rsidR="00A2372B" w:rsidRPr="00244050" w:rsidRDefault="00A2372B" w:rsidP="00EB036F">
            <w:pPr>
              <w:rPr>
                <w:rFonts w:ascii="Arial" w:hAnsi="Arial" w:cs="Arial"/>
                <w:sz w:val="12"/>
                <w:szCs w:val="12"/>
              </w:rPr>
            </w:pPr>
            <w:r w:rsidRPr="00244050">
              <w:rPr>
                <w:rFonts w:ascii="Arial" w:hAnsi="Arial" w:cs="Arial"/>
                <w:i/>
                <w:sz w:val="12"/>
                <w:szCs w:val="12"/>
              </w:rPr>
              <w:t>Evaluating and concluding</w:t>
            </w:r>
          </w:p>
        </w:tc>
        <w:tc>
          <w:tcPr>
            <w:tcW w:w="2856" w:type="dxa"/>
            <w:tcBorders>
              <w:top w:val="single" w:sz="4" w:space="0" w:color="auto"/>
              <w:bottom w:val="nil"/>
            </w:tcBorders>
          </w:tcPr>
          <w:p w:rsidR="00A2372B" w:rsidRPr="00244050" w:rsidRDefault="00A2372B" w:rsidP="00EB036F">
            <w:pPr>
              <w:pStyle w:val="Tablebullets"/>
              <w:widowControl w:val="0"/>
              <w:numPr>
                <w:ilvl w:val="0"/>
                <w:numId w:val="0"/>
              </w:numPr>
              <w:tabs>
                <w:tab w:val="left" w:pos="170"/>
              </w:tabs>
              <w:ind w:left="170"/>
              <w:rPr>
                <w:sz w:val="12"/>
                <w:szCs w:val="12"/>
              </w:rPr>
            </w:pPr>
          </w:p>
        </w:tc>
        <w:tc>
          <w:tcPr>
            <w:tcW w:w="2410" w:type="dxa"/>
            <w:tcBorders>
              <w:top w:val="single" w:sz="4" w:space="0" w:color="auto"/>
              <w:bottom w:val="nil"/>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232" w:type="dxa"/>
            <w:tcBorders>
              <w:top w:val="single" w:sz="4" w:space="0" w:color="auto"/>
              <w:bottom w:val="nil"/>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498" w:type="dxa"/>
            <w:tcBorders>
              <w:top w:val="single" w:sz="4" w:space="0" w:color="auto"/>
              <w:bottom w:val="nil"/>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499" w:type="dxa"/>
            <w:tcBorders>
              <w:top w:val="single" w:sz="4" w:space="0" w:color="auto"/>
              <w:bottom w:val="nil"/>
            </w:tcBorders>
            <w:shd w:val="clear" w:color="auto" w:fill="auto"/>
          </w:tcPr>
          <w:p w:rsidR="00A2372B" w:rsidRPr="00244050" w:rsidRDefault="00A2372B" w:rsidP="00EB036F">
            <w:pPr>
              <w:pStyle w:val="Tablebullets"/>
              <w:widowControl w:val="0"/>
              <w:numPr>
                <w:ilvl w:val="0"/>
                <w:numId w:val="0"/>
              </w:numPr>
              <w:tabs>
                <w:tab w:val="left" w:pos="170"/>
              </w:tabs>
              <w:ind w:left="170"/>
              <w:rPr>
                <w:spacing w:val="-4"/>
                <w:sz w:val="12"/>
                <w:szCs w:val="12"/>
                <w:lang w:val="en-AU"/>
              </w:rPr>
            </w:pPr>
          </w:p>
        </w:tc>
      </w:tr>
      <w:tr w:rsidR="00A2372B" w:rsidRPr="00244050" w:rsidTr="00EB036F">
        <w:trPr>
          <w:cantSplit/>
          <w:jc w:val="center"/>
        </w:trPr>
        <w:tc>
          <w:tcPr>
            <w:tcW w:w="1453" w:type="dxa"/>
            <w:vMerge/>
          </w:tcPr>
          <w:p w:rsidR="00A2372B" w:rsidRPr="00244050" w:rsidRDefault="00A2372B" w:rsidP="00EB036F">
            <w:pPr>
              <w:rPr>
                <w:rFonts w:ascii="Arial" w:hAnsi="Arial" w:cs="Arial"/>
                <w:i/>
                <w:sz w:val="12"/>
                <w:szCs w:val="12"/>
              </w:rPr>
            </w:pPr>
          </w:p>
        </w:tc>
        <w:tc>
          <w:tcPr>
            <w:tcW w:w="2856" w:type="dxa"/>
            <w:tcBorders>
              <w:top w:val="nil"/>
              <w:bottom w:val="nil"/>
            </w:tcBorders>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410" w:type="dxa"/>
            <w:tcBorders>
              <w:top w:val="nil"/>
              <w:bottom w:val="nil"/>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232" w:type="dxa"/>
            <w:tcBorders>
              <w:top w:val="nil"/>
              <w:bottom w:val="nil"/>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498" w:type="dxa"/>
            <w:tcBorders>
              <w:top w:val="nil"/>
              <w:bottom w:val="nil"/>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499" w:type="dxa"/>
            <w:tcBorders>
              <w:top w:val="nil"/>
              <w:bottom w:val="nil"/>
            </w:tcBorders>
            <w:shd w:val="clear" w:color="auto" w:fill="auto"/>
          </w:tcPr>
          <w:p w:rsidR="00A2372B" w:rsidRPr="00244050" w:rsidRDefault="00A2372B" w:rsidP="00EB036F">
            <w:pPr>
              <w:pStyle w:val="Tablebullets"/>
              <w:widowControl w:val="0"/>
              <w:numPr>
                <w:ilvl w:val="0"/>
                <w:numId w:val="0"/>
              </w:numPr>
              <w:tabs>
                <w:tab w:val="left" w:pos="170"/>
              </w:tabs>
              <w:ind w:left="170"/>
              <w:rPr>
                <w:spacing w:val="-4"/>
                <w:sz w:val="12"/>
                <w:szCs w:val="12"/>
                <w:lang w:val="en-AU"/>
              </w:rPr>
            </w:pPr>
          </w:p>
        </w:tc>
      </w:tr>
      <w:tr w:rsidR="00A2372B" w:rsidRPr="00244050" w:rsidTr="00EB036F">
        <w:trPr>
          <w:cantSplit/>
          <w:jc w:val="center"/>
        </w:trPr>
        <w:tc>
          <w:tcPr>
            <w:tcW w:w="1453" w:type="dxa"/>
            <w:vMerge/>
          </w:tcPr>
          <w:p w:rsidR="00A2372B" w:rsidRPr="00244050" w:rsidRDefault="00A2372B" w:rsidP="00EB036F">
            <w:pPr>
              <w:rPr>
                <w:rFonts w:ascii="Arial" w:hAnsi="Arial" w:cs="Arial"/>
                <w:i/>
                <w:sz w:val="12"/>
                <w:szCs w:val="12"/>
              </w:rPr>
            </w:pPr>
          </w:p>
        </w:tc>
        <w:tc>
          <w:tcPr>
            <w:tcW w:w="2856" w:type="dxa"/>
            <w:tcBorders>
              <w:top w:val="nil"/>
            </w:tcBorders>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410" w:type="dxa"/>
            <w:tcBorders>
              <w:top w:val="nil"/>
            </w:tcBorders>
            <w:shd w:val="clear" w:color="auto" w:fill="auto"/>
          </w:tcPr>
          <w:p w:rsidR="00A2372B" w:rsidRPr="00244050" w:rsidRDefault="00A2372B" w:rsidP="00EB036F">
            <w:pPr>
              <w:pStyle w:val="Tablebullets"/>
              <w:widowControl w:val="0"/>
              <w:numPr>
                <w:ilvl w:val="0"/>
                <w:numId w:val="0"/>
              </w:numPr>
              <w:tabs>
                <w:tab w:val="left" w:pos="170"/>
              </w:tabs>
              <w:spacing w:after="120"/>
              <w:ind w:left="170"/>
              <w:rPr>
                <w:sz w:val="12"/>
                <w:szCs w:val="12"/>
                <w:lang w:val="en-AU"/>
              </w:rPr>
            </w:pPr>
          </w:p>
        </w:tc>
        <w:tc>
          <w:tcPr>
            <w:tcW w:w="2232" w:type="dxa"/>
            <w:tcBorders>
              <w:top w:val="nil"/>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498" w:type="dxa"/>
            <w:tcBorders>
              <w:top w:val="nil"/>
            </w:tcBorders>
            <w:shd w:val="clear" w:color="auto" w:fill="auto"/>
          </w:tcPr>
          <w:p w:rsidR="00A2372B" w:rsidRPr="00244050" w:rsidRDefault="00A2372B" w:rsidP="00EB036F">
            <w:pPr>
              <w:pStyle w:val="Tablebullets"/>
              <w:widowControl w:val="0"/>
              <w:numPr>
                <w:ilvl w:val="0"/>
                <w:numId w:val="0"/>
              </w:numPr>
              <w:tabs>
                <w:tab w:val="left" w:pos="170"/>
              </w:tabs>
              <w:ind w:left="170"/>
              <w:rPr>
                <w:sz w:val="12"/>
                <w:szCs w:val="12"/>
                <w:lang w:val="en-AU"/>
              </w:rPr>
            </w:pPr>
          </w:p>
        </w:tc>
        <w:tc>
          <w:tcPr>
            <w:tcW w:w="2499" w:type="dxa"/>
            <w:tcBorders>
              <w:top w:val="nil"/>
            </w:tcBorders>
            <w:shd w:val="clear" w:color="auto" w:fill="auto"/>
          </w:tcPr>
          <w:p w:rsidR="00A2372B" w:rsidRPr="00244050" w:rsidRDefault="00A2372B" w:rsidP="00EB036F">
            <w:pPr>
              <w:pStyle w:val="Tablebullets"/>
              <w:widowControl w:val="0"/>
              <w:numPr>
                <w:ilvl w:val="0"/>
                <w:numId w:val="0"/>
              </w:numPr>
              <w:tabs>
                <w:tab w:val="left" w:pos="170"/>
              </w:tabs>
              <w:ind w:left="170"/>
              <w:rPr>
                <w:spacing w:val="-4"/>
                <w:sz w:val="12"/>
                <w:szCs w:val="12"/>
                <w:lang w:val="en-AU"/>
              </w:rPr>
            </w:pPr>
          </w:p>
        </w:tc>
      </w:tr>
    </w:tbl>
    <w:p w:rsidR="00A2372B" w:rsidRPr="002C4E3C" w:rsidRDefault="00A2372B" w:rsidP="00A2372B">
      <w:pPr>
        <w:widowControl/>
        <w:spacing w:before="180" w:after="80"/>
        <w:rPr>
          <w:rFonts w:ascii="Arial" w:hAnsi="Arial"/>
          <w:b/>
          <w:sz w:val="20"/>
        </w:rPr>
      </w:pPr>
      <w:r w:rsidRPr="002C4E3C">
        <w:rPr>
          <w:rFonts w:ascii="Arial" w:hAnsi="Arial"/>
          <w:b/>
          <w:sz w:val="20"/>
        </w:rPr>
        <w:t>Awarding exit levels of achievement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222"/>
      </w:tblGrid>
      <w:tr w:rsidR="00A2372B" w:rsidRPr="002C4E3C" w:rsidTr="00EB036F">
        <w:tc>
          <w:tcPr>
            <w:tcW w:w="817" w:type="dxa"/>
            <w:vAlign w:val="center"/>
          </w:tcPr>
          <w:p w:rsidR="00A2372B" w:rsidRPr="002C4E3C" w:rsidRDefault="00A2372B" w:rsidP="00EB036F">
            <w:pPr>
              <w:widowControl/>
              <w:numPr>
                <w:ilvl w:val="0"/>
                <w:numId w:val="1"/>
              </w:numPr>
              <w:spacing w:before="80" w:after="20"/>
              <w:ind w:left="0" w:firstLine="0"/>
              <w:rPr>
                <w:rFonts w:ascii="Arial" w:hAnsi="Arial" w:cs="Arial"/>
                <w:sz w:val="18"/>
                <w:lang w:val="en-US"/>
              </w:rPr>
            </w:pPr>
            <w:r w:rsidRPr="002C4E3C">
              <w:rPr>
                <w:rFonts w:ascii="Arial" w:hAnsi="Arial" w:cs="Arial"/>
                <w:sz w:val="18"/>
                <w:lang w:val="en-US"/>
              </w:rPr>
              <w:t>VHA</w:t>
            </w:r>
          </w:p>
        </w:tc>
        <w:tc>
          <w:tcPr>
            <w:tcW w:w="8222" w:type="dxa"/>
            <w:vAlign w:val="center"/>
          </w:tcPr>
          <w:p w:rsidR="00A2372B" w:rsidRPr="002C4E3C" w:rsidRDefault="00A2372B" w:rsidP="00EB036F">
            <w:pPr>
              <w:widowControl/>
              <w:numPr>
                <w:ilvl w:val="0"/>
                <w:numId w:val="1"/>
              </w:numPr>
              <w:spacing w:before="80" w:after="20"/>
              <w:ind w:left="0" w:firstLine="0"/>
              <w:rPr>
                <w:rFonts w:ascii="Arial" w:hAnsi="Arial" w:cs="Arial"/>
                <w:color w:val="FF0000"/>
                <w:sz w:val="18"/>
                <w:lang w:val="en-US"/>
              </w:rPr>
            </w:pPr>
            <w:r w:rsidRPr="002C4E3C">
              <w:rPr>
                <w:rFonts w:ascii="Arial" w:hAnsi="Arial" w:cs="Arial"/>
                <w:color w:val="FF0000"/>
                <w:sz w:val="18"/>
                <w:lang w:val="en-US"/>
              </w:rPr>
              <w:t xml:space="preserve">Standard </w:t>
            </w:r>
            <w:r w:rsidRPr="002C4E3C">
              <w:rPr>
                <w:rFonts w:ascii="Arial" w:hAnsi="Arial" w:cs="Arial"/>
                <w:i/>
                <w:color w:val="FF0000"/>
                <w:sz w:val="18"/>
                <w:lang w:val="en-US"/>
              </w:rPr>
              <w:t xml:space="preserve">A(&gt;80%) </w:t>
            </w:r>
            <w:r w:rsidRPr="002C4E3C">
              <w:rPr>
                <w:rFonts w:ascii="Arial" w:hAnsi="Arial" w:cs="Arial"/>
                <w:color w:val="FF0000"/>
                <w:sz w:val="18"/>
                <w:lang w:val="en-US"/>
              </w:rPr>
              <w:t xml:space="preserve"> in any two criteria and no less than a </w:t>
            </w:r>
            <w:r w:rsidRPr="002C4E3C">
              <w:rPr>
                <w:rFonts w:ascii="Arial" w:hAnsi="Arial" w:cs="Arial"/>
                <w:i/>
                <w:color w:val="FF0000"/>
                <w:sz w:val="18"/>
                <w:lang w:val="en-US"/>
              </w:rPr>
              <w:t>B</w:t>
            </w:r>
            <w:r w:rsidRPr="002C4E3C">
              <w:rPr>
                <w:rFonts w:ascii="Arial" w:hAnsi="Arial" w:cs="Arial"/>
                <w:color w:val="FF0000"/>
                <w:sz w:val="18"/>
                <w:lang w:val="en-US"/>
              </w:rPr>
              <w:t xml:space="preserve"> in the remaining criterion</w:t>
            </w:r>
          </w:p>
        </w:tc>
      </w:tr>
      <w:tr w:rsidR="00A2372B" w:rsidRPr="002C4E3C" w:rsidTr="00EB036F">
        <w:tc>
          <w:tcPr>
            <w:tcW w:w="817" w:type="dxa"/>
            <w:vAlign w:val="center"/>
          </w:tcPr>
          <w:p w:rsidR="00A2372B" w:rsidRPr="002C4E3C" w:rsidRDefault="00A2372B" w:rsidP="00EB036F">
            <w:pPr>
              <w:widowControl/>
              <w:numPr>
                <w:ilvl w:val="0"/>
                <w:numId w:val="1"/>
              </w:numPr>
              <w:spacing w:before="80" w:after="20"/>
              <w:ind w:left="0" w:firstLine="0"/>
              <w:rPr>
                <w:rFonts w:ascii="Arial" w:hAnsi="Arial" w:cs="Arial"/>
                <w:sz w:val="18"/>
                <w:lang w:val="en-US"/>
              </w:rPr>
            </w:pPr>
            <w:r w:rsidRPr="002C4E3C">
              <w:rPr>
                <w:rFonts w:ascii="Arial" w:hAnsi="Arial" w:cs="Arial"/>
                <w:sz w:val="18"/>
                <w:lang w:val="en-US"/>
              </w:rPr>
              <w:t>HA</w:t>
            </w:r>
          </w:p>
        </w:tc>
        <w:tc>
          <w:tcPr>
            <w:tcW w:w="8222" w:type="dxa"/>
            <w:vAlign w:val="center"/>
          </w:tcPr>
          <w:p w:rsidR="00A2372B" w:rsidRPr="002C4E3C" w:rsidRDefault="00A2372B" w:rsidP="00EB036F">
            <w:pPr>
              <w:widowControl/>
              <w:numPr>
                <w:ilvl w:val="0"/>
                <w:numId w:val="1"/>
              </w:numPr>
              <w:spacing w:before="80" w:after="20"/>
              <w:ind w:left="0" w:firstLine="0"/>
              <w:rPr>
                <w:rFonts w:ascii="Arial" w:hAnsi="Arial" w:cs="Arial"/>
                <w:color w:val="FF0000"/>
                <w:sz w:val="18"/>
                <w:lang w:val="en-US"/>
              </w:rPr>
            </w:pPr>
            <w:r w:rsidRPr="002C4E3C">
              <w:rPr>
                <w:rFonts w:ascii="Arial" w:hAnsi="Arial" w:cs="Arial"/>
                <w:color w:val="FF0000"/>
                <w:sz w:val="18"/>
                <w:lang w:val="en-US"/>
              </w:rPr>
              <w:t xml:space="preserve">Standard </w:t>
            </w:r>
            <w:r w:rsidRPr="002C4E3C">
              <w:rPr>
                <w:rFonts w:ascii="Arial" w:hAnsi="Arial" w:cs="Arial"/>
                <w:i/>
                <w:color w:val="FF0000"/>
                <w:sz w:val="18"/>
                <w:lang w:val="en-US"/>
              </w:rPr>
              <w:t>B</w:t>
            </w:r>
            <w:r w:rsidRPr="002C4E3C">
              <w:rPr>
                <w:rFonts w:ascii="Arial" w:hAnsi="Arial" w:cs="Arial"/>
                <w:color w:val="FF0000"/>
                <w:sz w:val="18"/>
                <w:lang w:val="en-US"/>
              </w:rPr>
              <w:t xml:space="preserve"> (&gt;60%) in any two criteria and no less than a </w:t>
            </w:r>
            <w:r w:rsidRPr="002C4E3C">
              <w:rPr>
                <w:rFonts w:ascii="Arial" w:hAnsi="Arial" w:cs="Arial"/>
                <w:i/>
                <w:color w:val="FF0000"/>
                <w:sz w:val="18"/>
                <w:lang w:val="en-US"/>
              </w:rPr>
              <w:t>C</w:t>
            </w:r>
            <w:r w:rsidRPr="002C4E3C">
              <w:rPr>
                <w:rFonts w:ascii="Arial" w:hAnsi="Arial" w:cs="Arial"/>
                <w:color w:val="FF0000"/>
                <w:sz w:val="18"/>
                <w:lang w:val="en-US"/>
              </w:rPr>
              <w:t xml:space="preserve"> in the remaining criterion</w:t>
            </w:r>
          </w:p>
        </w:tc>
      </w:tr>
      <w:tr w:rsidR="00A2372B" w:rsidRPr="002C4E3C" w:rsidTr="00EB036F">
        <w:tc>
          <w:tcPr>
            <w:tcW w:w="817" w:type="dxa"/>
            <w:vAlign w:val="center"/>
          </w:tcPr>
          <w:p w:rsidR="00A2372B" w:rsidRPr="002C4E3C" w:rsidRDefault="00A2372B" w:rsidP="00EB036F">
            <w:pPr>
              <w:widowControl/>
              <w:numPr>
                <w:ilvl w:val="0"/>
                <w:numId w:val="1"/>
              </w:numPr>
              <w:spacing w:before="80" w:after="20"/>
              <w:ind w:left="0" w:firstLine="0"/>
              <w:rPr>
                <w:rFonts w:ascii="Arial" w:hAnsi="Arial" w:cs="Arial"/>
                <w:sz w:val="18"/>
                <w:lang w:val="en-US"/>
              </w:rPr>
            </w:pPr>
            <w:r w:rsidRPr="002C4E3C">
              <w:rPr>
                <w:rFonts w:ascii="Arial" w:hAnsi="Arial" w:cs="Arial"/>
                <w:sz w:val="18"/>
                <w:lang w:val="en-US"/>
              </w:rPr>
              <w:t>SA</w:t>
            </w:r>
          </w:p>
        </w:tc>
        <w:tc>
          <w:tcPr>
            <w:tcW w:w="8222" w:type="dxa"/>
            <w:vAlign w:val="center"/>
          </w:tcPr>
          <w:p w:rsidR="00A2372B" w:rsidRPr="002C4E3C" w:rsidRDefault="00A2372B" w:rsidP="00EB036F">
            <w:pPr>
              <w:widowControl/>
              <w:numPr>
                <w:ilvl w:val="0"/>
                <w:numId w:val="1"/>
              </w:numPr>
              <w:spacing w:before="80" w:after="20"/>
              <w:ind w:left="0" w:firstLine="0"/>
              <w:rPr>
                <w:rFonts w:ascii="Arial" w:hAnsi="Arial" w:cs="Arial"/>
                <w:color w:val="FF0000"/>
                <w:sz w:val="18"/>
                <w:lang w:val="en-US"/>
              </w:rPr>
            </w:pPr>
            <w:r w:rsidRPr="002C4E3C">
              <w:rPr>
                <w:rFonts w:ascii="Arial" w:hAnsi="Arial" w:cs="Arial"/>
                <w:color w:val="FF0000"/>
                <w:sz w:val="18"/>
                <w:lang w:val="en-US"/>
              </w:rPr>
              <w:t xml:space="preserve">Standard </w:t>
            </w:r>
            <w:r w:rsidRPr="002C4E3C">
              <w:rPr>
                <w:rFonts w:ascii="Arial" w:hAnsi="Arial" w:cs="Arial"/>
                <w:i/>
                <w:color w:val="FF0000"/>
                <w:sz w:val="18"/>
                <w:lang w:val="en-US"/>
              </w:rPr>
              <w:t>C</w:t>
            </w:r>
            <w:r w:rsidRPr="002C4E3C">
              <w:rPr>
                <w:rFonts w:ascii="Arial" w:hAnsi="Arial" w:cs="Arial"/>
                <w:color w:val="FF0000"/>
                <w:sz w:val="18"/>
                <w:lang w:val="en-US"/>
              </w:rPr>
              <w:t xml:space="preserve"> (&gt;40%) in any two criteria and no less than a </w:t>
            </w:r>
            <w:r w:rsidRPr="002C4E3C">
              <w:rPr>
                <w:rFonts w:ascii="Arial" w:hAnsi="Arial" w:cs="Arial"/>
                <w:i/>
                <w:color w:val="FF0000"/>
                <w:sz w:val="18"/>
                <w:lang w:val="en-US"/>
              </w:rPr>
              <w:t>D</w:t>
            </w:r>
            <w:r w:rsidRPr="002C4E3C">
              <w:rPr>
                <w:rFonts w:ascii="Arial" w:hAnsi="Arial" w:cs="Arial"/>
                <w:color w:val="FF0000"/>
                <w:sz w:val="18"/>
                <w:lang w:val="en-US"/>
              </w:rPr>
              <w:t xml:space="preserve"> in the remaining criterion</w:t>
            </w:r>
          </w:p>
        </w:tc>
      </w:tr>
      <w:tr w:rsidR="00A2372B" w:rsidRPr="002C4E3C" w:rsidTr="00EB036F">
        <w:tc>
          <w:tcPr>
            <w:tcW w:w="817" w:type="dxa"/>
            <w:vAlign w:val="center"/>
          </w:tcPr>
          <w:p w:rsidR="00A2372B" w:rsidRPr="002C4E3C" w:rsidRDefault="00A2372B" w:rsidP="00EB036F">
            <w:pPr>
              <w:widowControl/>
              <w:numPr>
                <w:ilvl w:val="0"/>
                <w:numId w:val="1"/>
              </w:numPr>
              <w:spacing w:before="80" w:after="20"/>
              <w:ind w:left="0" w:firstLine="0"/>
              <w:rPr>
                <w:rFonts w:ascii="Arial" w:hAnsi="Arial" w:cs="Arial"/>
                <w:sz w:val="18"/>
                <w:lang w:val="en-US"/>
              </w:rPr>
            </w:pPr>
            <w:r w:rsidRPr="002C4E3C">
              <w:rPr>
                <w:rFonts w:ascii="Arial" w:hAnsi="Arial" w:cs="Arial"/>
                <w:sz w:val="18"/>
                <w:lang w:val="en-US"/>
              </w:rPr>
              <w:t>LA</w:t>
            </w:r>
          </w:p>
        </w:tc>
        <w:tc>
          <w:tcPr>
            <w:tcW w:w="8222" w:type="dxa"/>
            <w:vAlign w:val="center"/>
          </w:tcPr>
          <w:p w:rsidR="00A2372B" w:rsidRPr="002C4E3C" w:rsidRDefault="00A2372B" w:rsidP="00EB036F">
            <w:pPr>
              <w:widowControl/>
              <w:numPr>
                <w:ilvl w:val="0"/>
                <w:numId w:val="1"/>
              </w:numPr>
              <w:spacing w:before="80" w:after="20"/>
              <w:ind w:left="0" w:firstLine="0"/>
              <w:rPr>
                <w:rFonts w:ascii="Arial" w:hAnsi="Arial" w:cs="Arial"/>
                <w:color w:val="FF0000"/>
                <w:sz w:val="18"/>
                <w:lang w:val="en-US"/>
              </w:rPr>
            </w:pPr>
            <w:r w:rsidRPr="002C4E3C">
              <w:rPr>
                <w:rFonts w:ascii="Arial" w:hAnsi="Arial" w:cs="Arial"/>
                <w:color w:val="FF0000"/>
                <w:sz w:val="18"/>
                <w:lang w:val="en-US"/>
              </w:rPr>
              <w:t xml:space="preserve">At least Standard </w:t>
            </w:r>
            <w:r w:rsidRPr="002C4E3C">
              <w:rPr>
                <w:rFonts w:ascii="Arial" w:hAnsi="Arial" w:cs="Arial"/>
                <w:i/>
                <w:color w:val="FF0000"/>
                <w:sz w:val="18"/>
                <w:lang w:val="en-US"/>
              </w:rPr>
              <w:t>D</w:t>
            </w:r>
            <w:r w:rsidRPr="002C4E3C">
              <w:rPr>
                <w:rFonts w:ascii="Arial" w:hAnsi="Arial" w:cs="Arial"/>
                <w:color w:val="FF0000"/>
                <w:sz w:val="18"/>
                <w:lang w:val="en-US"/>
              </w:rPr>
              <w:t xml:space="preserve"> (&gt;20%) in any two criteria</w:t>
            </w:r>
          </w:p>
        </w:tc>
      </w:tr>
      <w:tr w:rsidR="00A2372B" w:rsidRPr="002C4E3C" w:rsidTr="00EB036F">
        <w:tc>
          <w:tcPr>
            <w:tcW w:w="817" w:type="dxa"/>
            <w:vAlign w:val="center"/>
          </w:tcPr>
          <w:p w:rsidR="00A2372B" w:rsidRPr="002C4E3C" w:rsidRDefault="00A2372B" w:rsidP="00EB036F">
            <w:pPr>
              <w:widowControl/>
              <w:numPr>
                <w:ilvl w:val="0"/>
                <w:numId w:val="1"/>
              </w:numPr>
              <w:spacing w:before="80" w:after="20"/>
              <w:ind w:left="0" w:firstLine="0"/>
              <w:rPr>
                <w:rFonts w:ascii="Arial" w:hAnsi="Arial" w:cs="Arial"/>
                <w:sz w:val="18"/>
                <w:lang w:val="en-US"/>
              </w:rPr>
            </w:pPr>
            <w:r w:rsidRPr="002C4E3C">
              <w:rPr>
                <w:rFonts w:ascii="Arial" w:hAnsi="Arial" w:cs="Arial"/>
                <w:sz w:val="18"/>
                <w:lang w:val="en-US"/>
              </w:rPr>
              <w:t>VLA</w:t>
            </w:r>
          </w:p>
        </w:tc>
        <w:tc>
          <w:tcPr>
            <w:tcW w:w="8222" w:type="dxa"/>
            <w:vAlign w:val="center"/>
          </w:tcPr>
          <w:p w:rsidR="00A2372B" w:rsidRPr="002C4E3C" w:rsidRDefault="00A2372B" w:rsidP="00EB036F">
            <w:pPr>
              <w:widowControl/>
              <w:numPr>
                <w:ilvl w:val="0"/>
                <w:numId w:val="1"/>
              </w:numPr>
              <w:spacing w:before="80" w:after="20"/>
              <w:ind w:left="0" w:firstLine="0"/>
              <w:rPr>
                <w:rFonts w:ascii="Arial" w:hAnsi="Arial" w:cs="Arial"/>
                <w:color w:val="FF0000"/>
                <w:sz w:val="18"/>
                <w:lang w:val="en-US"/>
              </w:rPr>
            </w:pPr>
            <w:r w:rsidRPr="002C4E3C">
              <w:rPr>
                <w:rFonts w:ascii="Arial" w:hAnsi="Arial" w:cs="Arial"/>
                <w:color w:val="FF0000"/>
                <w:sz w:val="18"/>
                <w:lang w:val="en-US"/>
              </w:rPr>
              <w:t xml:space="preserve">Standard </w:t>
            </w:r>
            <w:r w:rsidRPr="002C4E3C">
              <w:rPr>
                <w:rFonts w:ascii="Arial" w:hAnsi="Arial" w:cs="Arial"/>
                <w:i/>
                <w:color w:val="FF0000"/>
                <w:sz w:val="18"/>
                <w:lang w:val="en-US"/>
              </w:rPr>
              <w:t>E</w:t>
            </w:r>
            <w:r w:rsidRPr="002C4E3C">
              <w:rPr>
                <w:rFonts w:ascii="Arial" w:hAnsi="Arial" w:cs="Arial"/>
                <w:color w:val="FF0000"/>
                <w:sz w:val="18"/>
                <w:lang w:val="en-US"/>
              </w:rPr>
              <w:t xml:space="preserve"> in</w:t>
            </w:r>
            <w:r>
              <w:rPr>
                <w:rFonts w:ascii="Arial" w:hAnsi="Arial" w:cs="Arial"/>
                <w:color w:val="FF0000"/>
                <w:sz w:val="18"/>
                <w:lang w:val="en-US"/>
              </w:rPr>
              <w:t xml:space="preserve"> two of</w:t>
            </w:r>
            <w:r w:rsidRPr="002C4E3C">
              <w:rPr>
                <w:rFonts w:ascii="Arial" w:hAnsi="Arial" w:cs="Arial"/>
                <w:color w:val="FF0000"/>
                <w:sz w:val="18"/>
                <w:lang w:val="en-US"/>
              </w:rPr>
              <w:t xml:space="preserve"> the three criteria</w:t>
            </w:r>
          </w:p>
        </w:tc>
      </w:tr>
    </w:tbl>
    <w:p w:rsidR="00A2372B" w:rsidRDefault="00A2372B" w:rsidP="00A2372B">
      <w:pPr>
        <w:pStyle w:val="NoSpacing"/>
        <w:rPr>
          <w:rFonts w:eastAsia="Times New Roman" w:cs="Times New Roman"/>
          <w:sz w:val="28"/>
          <w:szCs w:val="28"/>
        </w:rPr>
      </w:pPr>
    </w:p>
    <w:p w:rsidR="00A2372B" w:rsidRDefault="00A2372B" w:rsidP="00A2372B">
      <w:pPr>
        <w:pStyle w:val="NoSpacing"/>
        <w:rPr>
          <w:sz w:val="28"/>
          <w:szCs w:val="28"/>
        </w:rPr>
      </w:pPr>
      <w:r>
        <w:rPr>
          <w:sz w:val="28"/>
          <w:szCs w:val="28"/>
        </w:rPr>
        <w:t xml:space="preserve">Under the previous Queensland senior science syllabuses school work programs allowed different instruments to make weighted contributions to final grades. This was achieved by allocating a higher proportion of marks to certain instruments and less to others. The current syllabuses stipulate that </w:t>
      </w:r>
      <w:r w:rsidRPr="0006483A">
        <w:rPr>
          <w:i/>
          <w:sz w:val="28"/>
          <w:szCs w:val="28"/>
        </w:rPr>
        <w:t>'The exit criteria are to have equal emphasis across the range of summative assessment</w:t>
      </w:r>
      <w:r>
        <w:rPr>
          <w:sz w:val="28"/>
          <w:szCs w:val="28"/>
        </w:rPr>
        <w:t xml:space="preserve">’ and </w:t>
      </w:r>
      <w:r w:rsidRPr="0006483A">
        <w:rPr>
          <w:i/>
          <w:sz w:val="28"/>
          <w:szCs w:val="28"/>
        </w:rPr>
        <w:t>'All criteria make equal contribution to the determination of levels of exit achievement.</w:t>
      </w:r>
      <w:r w:rsidRPr="0006483A">
        <w:rPr>
          <w:sz w:val="28"/>
          <w:szCs w:val="28"/>
        </w:rPr>
        <w:t>'</w:t>
      </w:r>
      <w:r>
        <w:rPr>
          <w:sz w:val="28"/>
          <w:szCs w:val="28"/>
        </w:rPr>
        <w:t xml:space="preserve"> Different instruments cannot be weighted and all instruments and the criteria applied under the three global objects must be treated equally. </w:t>
      </w:r>
    </w:p>
    <w:p w:rsidR="00A2372B" w:rsidRDefault="00A2372B" w:rsidP="00A2372B">
      <w:pPr>
        <w:pStyle w:val="NoSpacing"/>
        <w:rPr>
          <w:sz w:val="28"/>
          <w:szCs w:val="28"/>
        </w:rPr>
      </w:pPr>
    </w:p>
    <w:p w:rsidR="00A2372B" w:rsidRDefault="00A2372B" w:rsidP="00A2372B">
      <w:pPr>
        <w:pStyle w:val="NoSpacing"/>
        <w:rPr>
          <w:sz w:val="28"/>
          <w:szCs w:val="28"/>
        </w:rPr>
      </w:pPr>
      <w:r>
        <w:rPr>
          <w:sz w:val="28"/>
          <w:szCs w:val="28"/>
        </w:rPr>
        <w:t xml:space="preserve">It is possible to design a student profile that can determine LOAs by aggregating the marks and calculating final percentages as in the previous syllabuses. This can be achieved by allocating the same number of total marks to each of the criteria in each instrument, e.g. 50 marks for KCU, IP and EC as the case may be. In practice schools may find it much simpler and more convenient to convert the results for each of the criteria in each instrument to a percentage. The percentages can then be aggregated and averaged on the student profile (Figure 2) which is a simpler approach to fulfilling the syllabus requirement of equal weighting for the instruments and global objectives. </w:t>
      </w:r>
    </w:p>
    <w:p w:rsidR="00A2372B" w:rsidRDefault="00A2372B" w:rsidP="00A2372B">
      <w:pPr>
        <w:pStyle w:val="NoSpacing"/>
        <w:rPr>
          <w:rFonts w:eastAsia="Times New Roman" w:cs="Times New Roman"/>
          <w:sz w:val="28"/>
          <w:szCs w:val="28"/>
        </w:rPr>
      </w:pPr>
    </w:p>
    <w:p w:rsidR="00A2372B" w:rsidRDefault="00A2372B" w:rsidP="00A2372B">
      <w:pPr>
        <w:pStyle w:val="NoSpacing"/>
        <w:rPr>
          <w:rFonts w:eastAsia="Times New Roman" w:cs="Times New Roman"/>
          <w:sz w:val="28"/>
          <w:szCs w:val="28"/>
        </w:rPr>
      </w:pPr>
      <w:r>
        <w:rPr>
          <w:rFonts w:eastAsia="Times New Roman" w:cs="Times New Roman"/>
          <w:sz w:val="28"/>
          <w:szCs w:val="28"/>
        </w:rPr>
        <w:t>W</w:t>
      </w:r>
      <w:r w:rsidRPr="002C4E3C">
        <w:rPr>
          <w:rFonts w:eastAsia="Times New Roman" w:cs="Times New Roman"/>
          <w:sz w:val="28"/>
          <w:szCs w:val="28"/>
        </w:rPr>
        <w:t>hen assigning stud</w:t>
      </w:r>
      <w:r>
        <w:rPr>
          <w:rFonts w:eastAsia="Times New Roman" w:cs="Times New Roman"/>
          <w:sz w:val="28"/>
          <w:szCs w:val="28"/>
        </w:rPr>
        <w:t>ents to rungs</w:t>
      </w:r>
      <w:r w:rsidRPr="005F7BCF">
        <w:rPr>
          <w:rFonts w:eastAsia="Times New Roman" w:cs="Times New Roman"/>
          <w:sz w:val="28"/>
          <w:szCs w:val="28"/>
        </w:rPr>
        <w:t xml:space="preserve"> </w:t>
      </w:r>
      <w:r>
        <w:rPr>
          <w:rFonts w:eastAsia="Times New Roman" w:cs="Times New Roman"/>
          <w:sz w:val="28"/>
          <w:szCs w:val="28"/>
        </w:rPr>
        <w:t>a</w:t>
      </w:r>
      <w:r w:rsidRPr="002C4E3C">
        <w:rPr>
          <w:rFonts w:eastAsia="Times New Roman" w:cs="Times New Roman"/>
          <w:sz w:val="28"/>
          <w:szCs w:val="28"/>
        </w:rPr>
        <w:t>t verification and exit</w:t>
      </w:r>
      <w:r>
        <w:rPr>
          <w:rFonts w:eastAsia="Times New Roman" w:cs="Times New Roman"/>
          <w:sz w:val="28"/>
          <w:szCs w:val="28"/>
        </w:rPr>
        <w:t xml:space="preserve"> percentages can</w:t>
      </w:r>
      <w:r w:rsidRPr="002C4E3C">
        <w:rPr>
          <w:rFonts w:eastAsia="Times New Roman" w:cs="Times New Roman"/>
          <w:sz w:val="28"/>
          <w:szCs w:val="28"/>
        </w:rPr>
        <w:t xml:space="preserve"> be averaged across the three general objectives to give an overall percentage provided the conditions in the table</w:t>
      </w:r>
      <w:r>
        <w:rPr>
          <w:rFonts w:eastAsia="Times New Roman" w:cs="Times New Roman"/>
          <w:sz w:val="28"/>
          <w:szCs w:val="28"/>
        </w:rPr>
        <w:t>s are met. As percentages effectively represent a 100 point scale</w:t>
      </w:r>
      <w:r w:rsidRPr="002C4E3C">
        <w:rPr>
          <w:rFonts w:eastAsia="Times New Roman" w:cs="Times New Roman"/>
          <w:sz w:val="28"/>
          <w:szCs w:val="28"/>
        </w:rPr>
        <w:t xml:space="preserve"> achievement band rung boundaries exist at increments of 2%</w:t>
      </w:r>
      <w:r>
        <w:rPr>
          <w:rFonts w:eastAsia="Times New Roman" w:cs="Times New Roman"/>
          <w:sz w:val="28"/>
          <w:szCs w:val="28"/>
        </w:rPr>
        <w:t xml:space="preserve"> (</w:t>
      </w:r>
      <w:r>
        <w:rPr>
          <w:rFonts w:eastAsia="Times New Roman" w:cs="Times New Roman"/>
          <w:b/>
          <w:sz w:val="28"/>
          <w:szCs w:val="28"/>
        </w:rPr>
        <w:t>rung = %/2</w:t>
      </w:r>
      <w:r>
        <w:rPr>
          <w:rFonts w:eastAsia="Times New Roman" w:cs="Times New Roman"/>
          <w:sz w:val="28"/>
          <w:szCs w:val="28"/>
        </w:rPr>
        <w:t>)</w:t>
      </w:r>
      <w:r w:rsidRPr="002C4E3C">
        <w:rPr>
          <w:rFonts w:eastAsia="Times New Roman" w:cs="Times New Roman"/>
          <w:sz w:val="28"/>
          <w:szCs w:val="28"/>
        </w:rPr>
        <w:t>, e.g., a</w:t>
      </w:r>
      <w:r w:rsidRPr="00E404F8">
        <w:t xml:space="preserve"> </w:t>
      </w:r>
      <w:r w:rsidRPr="00E404F8">
        <w:rPr>
          <w:rFonts w:eastAsia="Times New Roman" w:cs="Times New Roman"/>
          <w:sz w:val="28"/>
          <w:szCs w:val="28"/>
        </w:rPr>
        <w:t xml:space="preserve">student with an overall </w:t>
      </w:r>
      <w:r>
        <w:rPr>
          <w:rFonts w:eastAsia="Times New Roman" w:cs="Times New Roman"/>
          <w:sz w:val="28"/>
          <w:szCs w:val="28"/>
        </w:rPr>
        <w:t xml:space="preserve">average </w:t>
      </w:r>
      <w:r w:rsidRPr="00E404F8">
        <w:rPr>
          <w:rFonts w:eastAsia="Times New Roman" w:cs="Times New Roman"/>
          <w:sz w:val="28"/>
          <w:szCs w:val="28"/>
        </w:rPr>
        <w:t>ach</w:t>
      </w:r>
      <w:r>
        <w:rPr>
          <w:rFonts w:eastAsia="Times New Roman" w:cs="Times New Roman"/>
          <w:sz w:val="28"/>
          <w:szCs w:val="28"/>
        </w:rPr>
        <w:t>ievement percentage of 61% is</w:t>
      </w:r>
      <w:r w:rsidRPr="00E404F8">
        <w:rPr>
          <w:rFonts w:eastAsia="Times New Roman" w:cs="Times New Roman"/>
          <w:sz w:val="28"/>
          <w:szCs w:val="28"/>
        </w:rPr>
        <w:t xml:space="preserve"> placed at HA1</w:t>
      </w:r>
      <w:r>
        <w:rPr>
          <w:rFonts w:eastAsia="Times New Roman" w:cs="Times New Roman"/>
          <w:sz w:val="28"/>
          <w:szCs w:val="28"/>
        </w:rPr>
        <w:t xml:space="preserve"> and a student with 73%</w:t>
      </w:r>
      <w:r w:rsidRPr="00E404F8">
        <w:rPr>
          <w:rFonts w:eastAsia="Times New Roman" w:cs="Times New Roman"/>
          <w:sz w:val="28"/>
          <w:szCs w:val="28"/>
        </w:rPr>
        <w:t xml:space="preserve"> placed at HA6.</w:t>
      </w:r>
    </w:p>
    <w:p w:rsidR="00A2372B" w:rsidRDefault="00A2372B" w:rsidP="00A2372B">
      <w:pPr>
        <w:pStyle w:val="NoSpacing"/>
        <w:rPr>
          <w:rFonts w:eastAsia="Times New Roman" w:cs="Times New Roman"/>
          <w:sz w:val="28"/>
          <w:szCs w:val="28"/>
        </w:rPr>
      </w:pPr>
    </w:p>
    <w:p w:rsidR="00A2372B" w:rsidRDefault="00A2372B" w:rsidP="00A2372B">
      <w:pPr>
        <w:pStyle w:val="NoSpacing"/>
        <w:rPr>
          <w:rFonts w:eastAsia="Times New Roman" w:cs="Times New Roman"/>
          <w:sz w:val="28"/>
          <w:szCs w:val="28"/>
        </w:rPr>
      </w:pPr>
      <w:r>
        <w:rPr>
          <w:rFonts w:eastAsia="Times New Roman" w:cs="Times New Roman"/>
          <w:sz w:val="28"/>
          <w:szCs w:val="28"/>
        </w:rPr>
        <w:t>At verification panellists must still determine if school assessment packages allow students to display the full range of syllabus standards. As in the previous syllabuses where marks and percentage cut-offs were used panel will either support or change student placement by schools based on their professional judgement of the alignment of instruments to the standards and the quality of the student work.</w:t>
      </w:r>
    </w:p>
    <w:p w:rsidR="00A2372B" w:rsidRDefault="00A2372B" w:rsidP="00A2372B">
      <w:pPr>
        <w:pStyle w:val="NoSpacing"/>
        <w:rPr>
          <w:rFonts w:eastAsia="Times New Roman" w:cs="Times New Roman"/>
          <w:sz w:val="28"/>
          <w:szCs w:val="28"/>
        </w:rPr>
      </w:pPr>
    </w:p>
    <w:p w:rsidR="00A2372B" w:rsidRPr="000D0F11" w:rsidRDefault="00A2372B" w:rsidP="00A2372B">
      <w:pPr>
        <w:pStyle w:val="NoSpacing"/>
        <w:rPr>
          <w:rFonts w:cs="Tahoma"/>
          <w:bCs/>
          <w:spacing w:val="-20"/>
          <w:kern w:val="28"/>
          <w:sz w:val="28"/>
          <w:szCs w:val="28"/>
        </w:rPr>
      </w:pPr>
      <w:r>
        <w:rPr>
          <w:rFonts w:cs="Tahoma"/>
          <w:bCs/>
          <w:spacing w:val="-20"/>
          <w:kern w:val="28"/>
          <w:sz w:val="28"/>
          <w:szCs w:val="28"/>
        </w:rPr>
        <w:t xml:space="preserve">Figure 2. </w:t>
      </w:r>
      <w:r w:rsidRPr="000D0F11">
        <w:rPr>
          <w:rFonts w:cs="Tahoma"/>
          <w:bCs/>
          <w:spacing w:val="-20"/>
          <w:kern w:val="28"/>
          <w:sz w:val="28"/>
          <w:szCs w:val="28"/>
        </w:rPr>
        <w:t xml:space="preserve">Student Profile Exemplar </w:t>
      </w:r>
    </w:p>
    <w:p w:rsidR="00A2372B" w:rsidRPr="000D0F11" w:rsidRDefault="00A2372B" w:rsidP="00A2372B">
      <w:pPr>
        <w:widowControl/>
        <w:autoSpaceDE w:val="0"/>
        <w:autoSpaceDN w:val="0"/>
        <w:adjustRightInd w:val="0"/>
        <w:spacing w:before="0"/>
        <w:jc w:val="center"/>
        <w:rPr>
          <w:b/>
          <w:sz w:val="32"/>
          <w:szCs w:val="32"/>
          <w:lang w:eastAsia="en-AU"/>
        </w:rPr>
      </w:pPr>
      <w:r w:rsidRPr="000D0F11">
        <w:rPr>
          <w:b/>
          <w:sz w:val="32"/>
          <w:szCs w:val="32"/>
          <w:lang w:eastAsia="en-AU"/>
        </w:rPr>
        <w:t xml:space="preserve">Upper </w:t>
      </w:r>
      <w:proofErr w:type="spellStart"/>
      <w:r w:rsidRPr="000D0F11">
        <w:rPr>
          <w:b/>
          <w:sz w:val="32"/>
          <w:szCs w:val="32"/>
          <w:lang w:eastAsia="en-AU"/>
        </w:rPr>
        <w:t>Cumbucta</w:t>
      </w:r>
      <w:proofErr w:type="spellEnd"/>
      <w:r w:rsidRPr="000D0F11">
        <w:rPr>
          <w:b/>
          <w:sz w:val="32"/>
          <w:szCs w:val="32"/>
          <w:lang w:eastAsia="en-AU"/>
        </w:rPr>
        <w:t xml:space="preserve"> West College</w:t>
      </w:r>
    </w:p>
    <w:p w:rsidR="00A2372B" w:rsidRPr="000D0F11" w:rsidRDefault="00A2372B" w:rsidP="00A2372B">
      <w:pPr>
        <w:widowControl/>
        <w:autoSpaceDE w:val="0"/>
        <w:autoSpaceDN w:val="0"/>
        <w:adjustRightInd w:val="0"/>
        <w:spacing w:before="0"/>
        <w:jc w:val="center"/>
        <w:rPr>
          <w:b/>
          <w:sz w:val="32"/>
          <w:szCs w:val="32"/>
          <w:lang w:eastAsia="en-AU"/>
        </w:rPr>
      </w:pPr>
      <w:r w:rsidRPr="000D0F11">
        <w:rPr>
          <w:b/>
          <w:sz w:val="32"/>
          <w:szCs w:val="32"/>
          <w:lang w:eastAsia="en-AU"/>
        </w:rPr>
        <w:t>Senior Chemistry Student Profile</w:t>
      </w:r>
    </w:p>
    <w:p w:rsidR="00A2372B" w:rsidRPr="000D0F11" w:rsidRDefault="00A2372B" w:rsidP="00A2372B">
      <w:pPr>
        <w:widowControl/>
        <w:autoSpaceDE w:val="0"/>
        <w:autoSpaceDN w:val="0"/>
        <w:adjustRightInd w:val="0"/>
        <w:spacing w:before="0"/>
        <w:jc w:val="both"/>
        <w:rPr>
          <w:b/>
          <w:sz w:val="32"/>
          <w:szCs w:val="32"/>
          <w:lang w:eastAsia="en-AU"/>
        </w:rPr>
      </w:pPr>
    </w:p>
    <w:p w:rsidR="00A2372B" w:rsidRPr="000D0F11" w:rsidRDefault="00A2372B" w:rsidP="00A2372B">
      <w:pPr>
        <w:widowControl/>
        <w:autoSpaceDE w:val="0"/>
        <w:autoSpaceDN w:val="0"/>
        <w:adjustRightInd w:val="0"/>
        <w:spacing w:before="0"/>
        <w:jc w:val="both"/>
        <w:rPr>
          <w:sz w:val="32"/>
          <w:szCs w:val="32"/>
          <w:lang w:eastAsia="en-AU"/>
        </w:rPr>
      </w:pPr>
      <w:r w:rsidRPr="000D0F11">
        <w:rPr>
          <w:b/>
          <w:sz w:val="32"/>
          <w:szCs w:val="32"/>
          <w:lang w:eastAsia="en-AU"/>
        </w:rPr>
        <w:t xml:space="preserve">Year: </w:t>
      </w:r>
      <w:r w:rsidRPr="000D0F11">
        <w:rPr>
          <w:i/>
          <w:sz w:val="32"/>
          <w:szCs w:val="32"/>
          <w:u w:val="single"/>
          <w:lang w:eastAsia="en-AU"/>
        </w:rPr>
        <w:t>2014</w:t>
      </w:r>
      <w:r w:rsidRPr="000D0F11">
        <w:rPr>
          <w:sz w:val="32"/>
          <w:szCs w:val="32"/>
          <w:lang w:eastAsia="en-AU"/>
        </w:rPr>
        <w:t xml:space="preserve">        </w:t>
      </w:r>
      <w:r w:rsidRPr="000D0F11">
        <w:rPr>
          <w:b/>
          <w:sz w:val="32"/>
          <w:szCs w:val="32"/>
          <w:lang w:eastAsia="en-AU"/>
        </w:rPr>
        <w:t xml:space="preserve">Student: </w:t>
      </w:r>
      <w:r>
        <w:rPr>
          <w:i/>
          <w:sz w:val="32"/>
          <w:szCs w:val="32"/>
          <w:u w:val="single"/>
          <w:lang w:eastAsia="en-AU"/>
        </w:rPr>
        <w:t xml:space="preserve">Jane </w:t>
      </w:r>
      <w:proofErr w:type="spellStart"/>
      <w:r>
        <w:rPr>
          <w:i/>
          <w:sz w:val="32"/>
          <w:szCs w:val="32"/>
          <w:u w:val="single"/>
          <w:lang w:eastAsia="en-AU"/>
        </w:rPr>
        <w:t>McG</w:t>
      </w:r>
      <w:r w:rsidRPr="007E28C7">
        <w:rPr>
          <w:i/>
          <w:sz w:val="32"/>
          <w:szCs w:val="32"/>
          <w:u w:val="single"/>
          <w:lang w:eastAsia="en-AU"/>
        </w:rPr>
        <w:t>illicuddy</w:t>
      </w:r>
      <w:proofErr w:type="spellEnd"/>
    </w:p>
    <w:p w:rsidR="00A2372B" w:rsidRPr="000D0F11" w:rsidRDefault="00A2372B" w:rsidP="00A2372B">
      <w:pPr>
        <w:widowControl/>
        <w:autoSpaceDE w:val="0"/>
        <w:autoSpaceDN w:val="0"/>
        <w:adjustRightInd w:val="0"/>
        <w:spacing w:before="0"/>
        <w:jc w:val="both"/>
        <w:rPr>
          <w:sz w:val="32"/>
          <w:szCs w:val="32"/>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2203"/>
        <w:gridCol w:w="500"/>
        <w:gridCol w:w="1703"/>
        <w:gridCol w:w="1134"/>
        <w:gridCol w:w="1134"/>
        <w:gridCol w:w="1134"/>
      </w:tblGrid>
      <w:tr w:rsidR="00A2372B" w:rsidRPr="000D0F11" w:rsidTr="00EB036F">
        <w:tc>
          <w:tcPr>
            <w:tcW w:w="1328" w:type="dxa"/>
            <w:vAlign w:val="center"/>
          </w:tcPr>
          <w:p w:rsidR="00A2372B" w:rsidRPr="000D0F11" w:rsidRDefault="00A2372B" w:rsidP="00EB036F">
            <w:pPr>
              <w:widowControl/>
              <w:spacing w:before="0"/>
              <w:rPr>
                <w:b/>
                <w:sz w:val="28"/>
                <w:szCs w:val="28"/>
              </w:rPr>
            </w:pPr>
            <w:r w:rsidRPr="000D0F11">
              <w:rPr>
                <w:b/>
                <w:sz w:val="28"/>
                <w:szCs w:val="28"/>
              </w:rPr>
              <w:t xml:space="preserve">Year </w:t>
            </w:r>
          </w:p>
        </w:tc>
        <w:tc>
          <w:tcPr>
            <w:tcW w:w="2703" w:type="dxa"/>
            <w:gridSpan w:val="2"/>
            <w:vAlign w:val="center"/>
          </w:tcPr>
          <w:p w:rsidR="00A2372B" w:rsidRPr="000D0F11" w:rsidRDefault="00A2372B" w:rsidP="00EB036F">
            <w:pPr>
              <w:widowControl/>
              <w:spacing w:before="0"/>
              <w:rPr>
                <w:b/>
                <w:sz w:val="28"/>
                <w:szCs w:val="28"/>
              </w:rPr>
            </w:pPr>
            <w:r w:rsidRPr="000D0F11">
              <w:rPr>
                <w:b/>
                <w:sz w:val="28"/>
                <w:szCs w:val="28"/>
              </w:rPr>
              <w:t>Assessment Instrument</w:t>
            </w:r>
          </w:p>
        </w:tc>
        <w:tc>
          <w:tcPr>
            <w:tcW w:w="1703" w:type="dxa"/>
            <w:vAlign w:val="center"/>
          </w:tcPr>
          <w:p w:rsidR="00A2372B" w:rsidRPr="000D0F11" w:rsidRDefault="00A2372B" w:rsidP="00EB036F">
            <w:pPr>
              <w:widowControl/>
              <w:spacing w:before="0"/>
              <w:rPr>
                <w:b/>
                <w:sz w:val="28"/>
                <w:szCs w:val="28"/>
              </w:rPr>
            </w:pPr>
            <w:r w:rsidRPr="000D0F11">
              <w:rPr>
                <w:b/>
                <w:sz w:val="28"/>
                <w:szCs w:val="28"/>
              </w:rPr>
              <w:t>Technique category</w:t>
            </w:r>
          </w:p>
        </w:tc>
        <w:tc>
          <w:tcPr>
            <w:tcW w:w="1134" w:type="dxa"/>
            <w:vAlign w:val="center"/>
          </w:tcPr>
          <w:p w:rsidR="00A2372B" w:rsidRPr="000D0F11" w:rsidRDefault="00A2372B" w:rsidP="00EB036F">
            <w:pPr>
              <w:widowControl/>
              <w:spacing w:before="0"/>
              <w:jc w:val="center"/>
              <w:rPr>
                <w:b/>
                <w:sz w:val="28"/>
                <w:szCs w:val="28"/>
              </w:rPr>
            </w:pPr>
            <w:r w:rsidRPr="000D0F11">
              <w:rPr>
                <w:b/>
                <w:sz w:val="28"/>
                <w:szCs w:val="28"/>
              </w:rPr>
              <w:t>KCU</w:t>
            </w:r>
          </w:p>
        </w:tc>
        <w:tc>
          <w:tcPr>
            <w:tcW w:w="1134" w:type="dxa"/>
            <w:vAlign w:val="center"/>
          </w:tcPr>
          <w:p w:rsidR="00A2372B" w:rsidRPr="00B7183B" w:rsidRDefault="00A2372B" w:rsidP="00EB036F">
            <w:pPr>
              <w:widowControl/>
              <w:spacing w:before="0"/>
              <w:jc w:val="center"/>
              <w:rPr>
                <w:b/>
                <w:sz w:val="28"/>
                <w:szCs w:val="28"/>
              </w:rPr>
            </w:pPr>
            <w:r w:rsidRPr="00B7183B">
              <w:rPr>
                <w:b/>
                <w:sz w:val="28"/>
                <w:szCs w:val="28"/>
              </w:rPr>
              <w:t>IP</w:t>
            </w:r>
          </w:p>
        </w:tc>
        <w:tc>
          <w:tcPr>
            <w:tcW w:w="1134" w:type="dxa"/>
            <w:vAlign w:val="center"/>
          </w:tcPr>
          <w:p w:rsidR="00A2372B" w:rsidRPr="00B7183B" w:rsidRDefault="00A2372B" w:rsidP="00EB036F">
            <w:pPr>
              <w:widowControl/>
              <w:spacing w:before="0"/>
              <w:jc w:val="center"/>
              <w:rPr>
                <w:b/>
                <w:sz w:val="28"/>
                <w:szCs w:val="28"/>
              </w:rPr>
            </w:pPr>
          </w:p>
          <w:p w:rsidR="00A2372B" w:rsidRPr="00B7183B" w:rsidRDefault="00A2372B" w:rsidP="00EB036F">
            <w:pPr>
              <w:widowControl/>
              <w:spacing w:before="0"/>
              <w:jc w:val="center"/>
              <w:rPr>
                <w:b/>
                <w:sz w:val="28"/>
                <w:szCs w:val="28"/>
              </w:rPr>
            </w:pPr>
            <w:r w:rsidRPr="00B7183B">
              <w:rPr>
                <w:b/>
                <w:sz w:val="28"/>
                <w:szCs w:val="28"/>
              </w:rPr>
              <w:t>EC</w:t>
            </w:r>
          </w:p>
          <w:p w:rsidR="00A2372B" w:rsidRPr="00B7183B" w:rsidRDefault="00A2372B" w:rsidP="00EB036F">
            <w:pPr>
              <w:widowControl/>
              <w:spacing w:before="0"/>
              <w:jc w:val="center"/>
              <w:rPr>
                <w:b/>
                <w:sz w:val="28"/>
                <w:szCs w:val="28"/>
              </w:rPr>
            </w:pPr>
          </w:p>
        </w:tc>
      </w:tr>
      <w:tr w:rsidR="00A2372B" w:rsidRPr="000D0F11" w:rsidTr="00EB036F">
        <w:trPr>
          <w:trHeight w:val="432"/>
        </w:trPr>
        <w:tc>
          <w:tcPr>
            <w:tcW w:w="1328" w:type="dxa"/>
            <w:vMerge w:val="restart"/>
          </w:tcPr>
          <w:p w:rsidR="00A2372B" w:rsidRPr="000D0F11" w:rsidRDefault="00A2372B" w:rsidP="00EB036F">
            <w:pPr>
              <w:widowControl/>
              <w:spacing w:before="0"/>
              <w:rPr>
                <w:sz w:val="28"/>
                <w:szCs w:val="28"/>
              </w:rPr>
            </w:pPr>
          </w:p>
          <w:p w:rsidR="00A2372B" w:rsidRPr="000D0F11" w:rsidRDefault="00A2372B" w:rsidP="00EB036F">
            <w:pPr>
              <w:widowControl/>
              <w:spacing w:before="0"/>
              <w:rPr>
                <w:sz w:val="28"/>
                <w:szCs w:val="28"/>
              </w:rPr>
            </w:pPr>
          </w:p>
          <w:p w:rsidR="00A2372B" w:rsidRPr="000D0F11" w:rsidRDefault="00A2372B" w:rsidP="00EB036F">
            <w:pPr>
              <w:widowControl/>
              <w:spacing w:before="0"/>
              <w:rPr>
                <w:sz w:val="28"/>
                <w:szCs w:val="28"/>
              </w:rPr>
            </w:pPr>
          </w:p>
          <w:p w:rsidR="00A2372B" w:rsidRPr="000D0F11" w:rsidRDefault="00A2372B" w:rsidP="00EB036F">
            <w:pPr>
              <w:widowControl/>
              <w:spacing w:before="0"/>
              <w:jc w:val="center"/>
              <w:rPr>
                <w:sz w:val="28"/>
                <w:szCs w:val="28"/>
              </w:rPr>
            </w:pPr>
          </w:p>
          <w:p w:rsidR="00A2372B" w:rsidRPr="000D0F11" w:rsidRDefault="00A2372B" w:rsidP="00EB036F">
            <w:pPr>
              <w:widowControl/>
              <w:spacing w:before="0"/>
              <w:jc w:val="center"/>
              <w:rPr>
                <w:sz w:val="28"/>
                <w:szCs w:val="28"/>
              </w:rPr>
            </w:pPr>
          </w:p>
          <w:p w:rsidR="00A2372B" w:rsidRPr="000D0F11" w:rsidRDefault="00A2372B" w:rsidP="00EB036F">
            <w:pPr>
              <w:widowControl/>
              <w:spacing w:before="0"/>
              <w:jc w:val="center"/>
              <w:rPr>
                <w:sz w:val="28"/>
                <w:szCs w:val="28"/>
              </w:rPr>
            </w:pPr>
            <w:r w:rsidRPr="000D0F11">
              <w:rPr>
                <w:sz w:val="28"/>
                <w:szCs w:val="28"/>
              </w:rPr>
              <w:t>Year 12</w:t>
            </w:r>
          </w:p>
        </w:tc>
        <w:tc>
          <w:tcPr>
            <w:tcW w:w="2703" w:type="dxa"/>
            <w:gridSpan w:val="2"/>
          </w:tcPr>
          <w:p w:rsidR="00A2372B" w:rsidRPr="000D0F11" w:rsidRDefault="00A2372B" w:rsidP="00EB036F">
            <w:pPr>
              <w:widowControl/>
              <w:spacing w:before="0"/>
              <w:rPr>
                <w:sz w:val="28"/>
                <w:szCs w:val="28"/>
              </w:rPr>
            </w:pPr>
            <w:r w:rsidRPr="000D0F11">
              <w:rPr>
                <w:sz w:val="28"/>
                <w:szCs w:val="28"/>
              </w:rPr>
              <w:t>6. Replacement Fuels</w:t>
            </w:r>
          </w:p>
        </w:tc>
        <w:tc>
          <w:tcPr>
            <w:tcW w:w="1703" w:type="dxa"/>
            <w:shd w:val="clear" w:color="auto" w:fill="auto"/>
          </w:tcPr>
          <w:p w:rsidR="00A2372B" w:rsidRPr="000D0F11" w:rsidRDefault="00A2372B" w:rsidP="00EB036F">
            <w:pPr>
              <w:widowControl/>
              <w:spacing w:before="0"/>
              <w:rPr>
                <w:sz w:val="28"/>
                <w:szCs w:val="28"/>
              </w:rPr>
            </w:pPr>
            <w:r w:rsidRPr="000D0F11">
              <w:rPr>
                <w:sz w:val="28"/>
                <w:szCs w:val="28"/>
              </w:rPr>
              <w:t>ERT</w:t>
            </w:r>
          </w:p>
        </w:tc>
        <w:tc>
          <w:tcPr>
            <w:tcW w:w="1134" w:type="dxa"/>
            <w:shd w:val="clear" w:color="auto" w:fill="auto"/>
          </w:tcPr>
          <w:p w:rsidR="00A2372B" w:rsidRDefault="00A2372B" w:rsidP="00EB036F">
            <w:pPr>
              <w:widowControl/>
              <w:spacing w:before="0"/>
              <w:jc w:val="center"/>
              <w:rPr>
                <w:sz w:val="28"/>
                <w:szCs w:val="28"/>
              </w:rPr>
            </w:pPr>
            <w:r w:rsidRPr="000D0F11">
              <w:rPr>
                <w:i/>
                <w:sz w:val="28"/>
                <w:szCs w:val="28"/>
              </w:rPr>
              <w:t>18</w:t>
            </w:r>
            <w:r w:rsidRPr="000D0F11">
              <w:rPr>
                <w:sz w:val="28"/>
                <w:szCs w:val="28"/>
              </w:rPr>
              <w:t>/25</w:t>
            </w:r>
          </w:p>
          <w:p w:rsidR="00A2372B" w:rsidRPr="00893A8C" w:rsidRDefault="00A2372B" w:rsidP="00EB036F">
            <w:pPr>
              <w:widowControl/>
              <w:spacing w:before="0"/>
              <w:rPr>
                <w:color w:val="FF0000"/>
                <w:sz w:val="28"/>
                <w:szCs w:val="28"/>
              </w:rPr>
            </w:pPr>
            <w:r>
              <w:rPr>
                <w:sz w:val="28"/>
                <w:szCs w:val="28"/>
              </w:rPr>
              <w:t>%=</w:t>
            </w:r>
            <w:r>
              <w:rPr>
                <w:color w:val="FF0000"/>
                <w:sz w:val="28"/>
                <w:szCs w:val="28"/>
              </w:rPr>
              <w:t xml:space="preserve"> </w:t>
            </w:r>
            <w:r w:rsidRPr="00893A8C">
              <w:rPr>
                <w:b/>
                <w:color w:val="FF0000"/>
                <w:sz w:val="28"/>
                <w:szCs w:val="28"/>
              </w:rPr>
              <w:t>72</w:t>
            </w:r>
          </w:p>
        </w:tc>
        <w:tc>
          <w:tcPr>
            <w:tcW w:w="1134" w:type="dxa"/>
            <w:shd w:val="clear" w:color="auto" w:fill="auto"/>
          </w:tcPr>
          <w:p w:rsidR="00A2372B" w:rsidRDefault="00A2372B" w:rsidP="00EB036F">
            <w:pPr>
              <w:widowControl/>
              <w:spacing w:before="0"/>
              <w:jc w:val="center"/>
              <w:rPr>
                <w:sz w:val="28"/>
                <w:szCs w:val="28"/>
              </w:rPr>
            </w:pPr>
            <w:r w:rsidRPr="000D0F11">
              <w:rPr>
                <w:i/>
                <w:sz w:val="28"/>
                <w:szCs w:val="28"/>
              </w:rPr>
              <w:t>16</w:t>
            </w:r>
            <w:r w:rsidRPr="000D0F11">
              <w:rPr>
                <w:sz w:val="28"/>
                <w:szCs w:val="28"/>
              </w:rPr>
              <w:t>/25</w:t>
            </w:r>
          </w:p>
          <w:p w:rsidR="00A2372B" w:rsidRPr="00893A8C" w:rsidRDefault="00A2372B" w:rsidP="00EB036F">
            <w:pPr>
              <w:widowControl/>
              <w:spacing w:before="0"/>
              <w:rPr>
                <w:b/>
                <w:color w:val="FF0000"/>
                <w:sz w:val="28"/>
                <w:szCs w:val="28"/>
              </w:rPr>
            </w:pPr>
            <w:r>
              <w:rPr>
                <w:sz w:val="28"/>
                <w:szCs w:val="28"/>
              </w:rPr>
              <w:t xml:space="preserve">%= </w:t>
            </w:r>
            <w:r>
              <w:rPr>
                <w:b/>
                <w:color w:val="FF0000"/>
                <w:sz w:val="28"/>
                <w:szCs w:val="28"/>
              </w:rPr>
              <w:t>64</w:t>
            </w:r>
          </w:p>
        </w:tc>
        <w:tc>
          <w:tcPr>
            <w:tcW w:w="1134" w:type="dxa"/>
            <w:shd w:val="clear" w:color="auto" w:fill="auto"/>
          </w:tcPr>
          <w:p w:rsidR="00A2372B" w:rsidRDefault="00A2372B" w:rsidP="00EB036F">
            <w:pPr>
              <w:widowControl/>
              <w:spacing w:before="0"/>
              <w:jc w:val="center"/>
              <w:rPr>
                <w:sz w:val="28"/>
                <w:szCs w:val="28"/>
              </w:rPr>
            </w:pPr>
            <w:r w:rsidRPr="000D0F11">
              <w:rPr>
                <w:i/>
                <w:sz w:val="28"/>
                <w:szCs w:val="28"/>
              </w:rPr>
              <w:t>13</w:t>
            </w:r>
            <w:r w:rsidRPr="000D0F11">
              <w:rPr>
                <w:sz w:val="28"/>
                <w:szCs w:val="28"/>
              </w:rPr>
              <w:t>/25</w:t>
            </w:r>
          </w:p>
          <w:p w:rsidR="00A2372B" w:rsidRPr="00893A8C" w:rsidRDefault="00A2372B" w:rsidP="00EB036F">
            <w:pPr>
              <w:widowControl/>
              <w:spacing w:before="0"/>
              <w:rPr>
                <w:b/>
                <w:color w:val="FF0000"/>
                <w:sz w:val="28"/>
                <w:szCs w:val="28"/>
              </w:rPr>
            </w:pPr>
            <w:r>
              <w:rPr>
                <w:sz w:val="28"/>
                <w:szCs w:val="28"/>
              </w:rPr>
              <w:t xml:space="preserve">%= </w:t>
            </w:r>
            <w:r>
              <w:rPr>
                <w:b/>
                <w:color w:val="FF0000"/>
                <w:sz w:val="28"/>
                <w:szCs w:val="28"/>
              </w:rPr>
              <w:t>52</w:t>
            </w:r>
          </w:p>
        </w:tc>
      </w:tr>
      <w:tr w:rsidR="00A2372B" w:rsidRPr="000D0F11" w:rsidTr="00EB036F">
        <w:trPr>
          <w:trHeight w:val="432"/>
        </w:trPr>
        <w:tc>
          <w:tcPr>
            <w:tcW w:w="1328" w:type="dxa"/>
            <w:vMerge/>
          </w:tcPr>
          <w:p w:rsidR="00A2372B" w:rsidRPr="000D0F11" w:rsidRDefault="00A2372B" w:rsidP="00EB036F">
            <w:pPr>
              <w:widowControl/>
              <w:spacing w:before="0"/>
              <w:rPr>
                <w:sz w:val="28"/>
                <w:szCs w:val="28"/>
              </w:rPr>
            </w:pPr>
          </w:p>
        </w:tc>
        <w:tc>
          <w:tcPr>
            <w:tcW w:w="2703" w:type="dxa"/>
            <w:gridSpan w:val="2"/>
          </w:tcPr>
          <w:p w:rsidR="00A2372B" w:rsidRPr="000D0F11" w:rsidRDefault="00A2372B" w:rsidP="00EB036F">
            <w:pPr>
              <w:widowControl/>
              <w:spacing w:before="0"/>
              <w:rPr>
                <w:sz w:val="28"/>
                <w:szCs w:val="28"/>
              </w:rPr>
            </w:pPr>
            <w:r w:rsidRPr="000D0F11">
              <w:rPr>
                <w:sz w:val="28"/>
                <w:szCs w:val="28"/>
              </w:rPr>
              <w:t>7. End Semester 3 Exam: Energy &amp; Organics</w:t>
            </w:r>
          </w:p>
        </w:tc>
        <w:tc>
          <w:tcPr>
            <w:tcW w:w="1703" w:type="dxa"/>
            <w:shd w:val="clear" w:color="auto" w:fill="auto"/>
          </w:tcPr>
          <w:p w:rsidR="00A2372B" w:rsidRPr="000D0F11" w:rsidRDefault="00A2372B" w:rsidP="00EB036F">
            <w:pPr>
              <w:widowControl/>
              <w:spacing w:before="0"/>
              <w:rPr>
                <w:sz w:val="28"/>
                <w:szCs w:val="28"/>
              </w:rPr>
            </w:pPr>
            <w:r w:rsidRPr="000D0F11">
              <w:rPr>
                <w:sz w:val="28"/>
                <w:szCs w:val="28"/>
              </w:rPr>
              <w:t>SA</w:t>
            </w:r>
          </w:p>
        </w:tc>
        <w:tc>
          <w:tcPr>
            <w:tcW w:w="1134" w:type="dxa"/>
            <w:shd w:val="clear" w:color="auto" w:fill="auto"/>
          </w:tcPr>
          <w:p w:rsidR="00A2372B" w:rsidRDefault="00A2372B" w:rsidP="00EB036F">
            <w:pPr>
              <w:widowControl/>
              <w:spacing w:before="0"/>
              <w:jc w:val="center"/>
              <w:rPr>
                <w:sz w:val="28"/>
                <w:szCs w:val="28"/>
              </w:rPr>
            </w:pPr>
            <w:r w:rsidRPr="000D0F11">
              <w:rPr>
                <w:i/>
                <w:sz w:val="28"/>
                <w:szCs w:val="28"/>
              </w:rPr>
              <w:t>39</w:t>
            </w:r>
            <w:r w:rsidRPr="000D0F11">
              <w:rPr>
                <w:sz w:val="28"/>
                <w:szCs w:val="28"/>
              </w:rPr>
              <w:t>/50</w:t>
            </w:r>
          </w:p>
          <w:p w:rsidR="00A2372B" w:rsidRPr="00893A8C" w:rsidRDefault="00A2372B" w:rsidP="00EB036F">
            <w:pPr>
              <w:widowControl/>
              <w:spacing w:before="0"/>
              <w:rPr>
                <w:b/>
                <w:color w:val="FF0000"/>
                <w:sz w:val="28"/>
                <w:szCs w:val="28"/>
              </w:rPr>
            </w:pPr>
            <w:r>
              <w:rPr>
                <w:sz w:val="28"/>
                <w:szCs w:val="28"/>
              </w:rPr>
              <w:t xml:space="preserve">%= </w:t>
            </w:r>
            <w:r>
              <w:rPr>
                <w:b/>
                <w:color w:val="FF0000"/>
                <w:sz w:val="28"/>
                <w:szCs w:val="28"/>
              </w:rPr>
              <w:t>78</w:t>
            </w:r>
          </w:p>
        </w:tc>
        <w:tc>
          <w:tcPr>
            <w:tcW w:w="1134" w:type="dxa"/>
            <w:shd w:val="clear" w:color="auto" w:fill="auto"/>
          </w:tcPr>
          <w:p w:rsidR="00A2372B" w:rsidRDefault="00A2372B" w:rsidP="00EB036F">
            <w:pPr>
              <w:widowControl/>
              <w:spacing w:before="0"/>
              <w:jc w:val="center"/>
              <w:rPr>
                <w:sz w:val="28"/>
                <w:szCs w:val="28"/>
              </w:rPr>
            </w:pPr>
            <w:r w:rsidRPr="000D0F11">
              <w:rPr>
                <w:i/>
                <w:sz w:val="28"/>
                <w:szCs w:val="28"/>
              </w:rPr>
              <w:t>35</w:t>
            </w:r>
            <w:r w:rsidRPr="000D0F11">
              <w:rPr>
                <w:sz w:val="28"/>
                <w:szCs w:val="28"/>
              </w:rPr>
              <w:t>/50</w:t>
            </w:r>
          </w:p>
          <w:p w:rsidR="00A2372B" w:rsidRPr="00893A8C" w:rsidRDefault="00A2372B" w:rsidP="00EB036F">
            <w:pPr>
              <w:widowControl/>
              <w:spacing w:before="0"/>
              <w:rPr>
                <w:b/>
                <w:sz w:val="28"/>
                <w:szCs w:val="28"/>
              </w:rPr>
            </w:pPr>
            <w:r>
              <w:rPr>
                <w:sz w:val="28"/>
                <w:szCs w:val="28"/>
              </w:rPr>
              <w:t xml:space="preserve">%= </w:t>
            </w:r>
            <w:r w:rsidRPr="00893A8C">
              <w:rPr>
                <w:b/>
                <w:color w:val="FF0000"/>
                <w:sz w:val="28"/>
                <w:szCs w:val="28"/>
              </w:rPr>
              <w:t>70</w:t>
            </w:r>
          </w:p>
        </w:tc>
        <w:tc>
          <w:tcPr>
            <w:tcW w:w="1134" w:type="dxa"/>
            <w:shd w:val="clear" w:color="auto" w:fill="auto"/>
          </w:tcPr>
          <w:p w:rsidR="00A2372B" w:rsidRDefault="00A2372B" w:rsidP="00EB036F">
            <w:pPr>
              <w:widowControl/>
              <w:spacing w:before="0"/>
              <w:jc w:val="center"/>
              <w:rPr>
                <w:sz w:val="28"/>
                <w:szCs w:val="28"/>
              </w:rPr>
            </w:pPr>
            <w:r w:rsidRPr="000D0F11">
              <w:rPr>
                <w:i/>
                <w:sz w:val="28"/>
                <w:szCs w:val="28"/>
              </w:rPr>
              <w:t>27</w:t>
            </w:r>
            <w:r w:rsidRPr="000D0F11">
              <w:rPr>
                <w:sz w:val="28"/>
                <w:szCs w:val="28"/>
              </w:rPr>
              <w:t>/50</w:t>
            </w:r>
          </w:p>
          <w:p w:rsidR="00A2372B" w:rsidRPr="00893A8C" w:rsidRDefault="00A2372B" w:rsidP="00EB036F">
            <w:pPr>
              <w:widowControl/>
              <w:spacing w:before="0"/>
              <w:rPr>
                <w:b/>
                <w:color w:val="FF0000"/>
                <w:sz w:val="28"/>
                <w:szCs w:val="28"/>
              </w:rPr>
            </w:pPr>
            <w:r>
              <w:rPr>
                <w:sz w:val="28"/>
                <w:szCs w:val="28"/>
              </w:rPr>
              <w:t xml:space="preserve">%= </w:t>
            </w:r>
            <w:r>
              <w:rPr>
                <w:b/>
                <w:color w:val="FF0000"/>
                <w:sz w:val="28"/>
                <w:szCs w:val="28"/>
              </w:rPr>
              <w:t>54</w:t>
            </w:r>
          </w:p>
        </w:tc>
      </w:tr>
      <w:tr w:rsidR="00A2372B" w:rsidRPr="000D0F11" w:rsidTr="00EB036F">
        <w:trPr>
          <w:trHeight w:val="432"/>
        </w:trPr>
        <w:tc>
          <w:tcPr>
            <w:tcW w:w="1328" w:type="dxa"/>
            <w:vMerge/>
          </w:tcPr>
          <w:p w:rsidR="00A2372B" w:rsidRPr="000D0F11" w:rsidRDefault="00A2372B" w:rsidP="00EB036F">
            <w:pPr>
              <w:widowControl/>
              <w:spacing w:before="0"/>
              <w:rPr>
                <w:sz w:val="28"/>
                <w:szCs w:val="28"/>
              </w:rPr>
            </w:pPr>
          </w:p>
        </w:tc>
        <w:tc>
          <w:tcPr>
            <w:tcW w:w="2703" w:type="dxa"/>
            <w:gridSpan w:val="2"/>
          </w:tcPr>
          <w:p w:rsidR="00A2372B" w:rsidRPr="000D0F11" w:rsidRDefault="00A2372B" w:rsidP="00EB036F">
            <w:pPr>
              <w:widowControl/>
              <w:spacing w:before="0"/>
              <w:rPr>
                <w:sz w:val="28"/>
                <w:szCs w:val="28"/>
              </w:rPr>
            </w:pPr>
            <w:r>
              <w:rPr>
                <w:sz w:val="28"/>
                <w:szCs w:val="28"/>
              </w:rPr>
              <w:t>8. Wine in a Cup</w:t>
            </w:r>
          </w:p>
        </w:tc>
        <w:tc>
          <w:tcPr>
            <w:tcW w:w="1703" w:type="dxa"/>
            <w:shd w:val="clear" w:color="auto" w:fill="auto"/>
          </w:tcPr>
          <w:p w:rsidR="00A2372B" w:rsidRPr="000D0F11" w:rsidRDefault="00A2372B" w:rsidP="00EB036F">
            <w:pPr>
              <w:widowControl/>
              <w:spacing w:before="0"/>
              <w:rPr>
                <w:sz w:val="28"/>
                <w:szCs w:val="28"/>
              </w:rPr>
            </w:pPr>
            <w:r w:rsidRPr="000D0F11">
              <w:rPr>
                <w:sz w:val="28"/>
                <w:szCs w:val="28"/>
              </w:rPr>
              <w:t>EEI</w:t>
            </w:r>
          </w:p>
        </w:tc>
        <w:tc>
          <w:tcPr>
            <w:tcW w:w="1134" w:type="dxa"/>
            <w:shd w:val="clear" w:color="auto" w:fill="auto"/>
          </w:tcPr>
          <w:p w:rsidR="00A2372B" w:rsidRDefault="00A2372B" w:rsidP="00EB036F">
            <w:pPr>
              <w:widowControl/>
              <w:spacing w:before="0"/>
              <w:jc w:val="center"/>
              <w:rPr>
                <w:sz w:val="28"/>
                <w:szCs w:val="28"/>
              </w:rPr>
            </w:pPr>
            <w:r>
              <w:rPr>
                <w:i/>
                <w:sz w:val="28"/>
                <w:szCs w:val="28"/>
              </w:rPr>
              <w:t>34</w:t>
            </w:r>
            <w:r>
              <w:rPr>
                <w:sz w:val="28"/>
                <w:szCs w:val="28"/>
              </w:rPr>
              <w:t>/50</w:t>
            </w:r>
          </w:p>
          <w:p w:rsidR="00A2372B" w:rsidRPr="00893A8C" w:rsidRDefault="00A2372B" w:rsidP="00EB036F">
            <w:pPr>
              <w:widowControl/>
              <w:spacing w:before="0"/>
              <w:rPr>
                <w:b/>
                <w:color w:val="FF0000"/>
                <w:sz w:val="28"/>
                <w:szCs w:val="28"/>
              </w:rPr>
            </w:pPr>
            <w:r>
              <w:rPr>
                <w:sz w:val="28"/>
                <w:szCs w:val="28"/>
              </w:rPr>
              <w:t xml:space="preserve">%= </w:t>
            </w:r>
            <w:r>
              <w:rPr>
                <w:b/>
                <w:color w:val="FF0000"/>
                <w:sz w:val="28"/>
                <w:szCs w:val="28"/>
              </w:rPr>
              <w:t>60</w:t>
            </w:r>
          </w:p>
        </w:tc>
        <w:tc>
          <w:tcPr>
            <w:tcW w:w="1134" w:type="dxa"/>
            <w:shd w:val="clear" w:color="auto" w:fill="auto"/>
          </w:tcPr>
          <w:p w:rsidR="00A2372B" w:rsidRDefault="00A2372B" w:rsidP="00EB036F">
            <w:pPr>
              <w:widowControl/>
              <w:spacing w:before="0"/>
              <w:jc w:val="center"/>
              <w:rPr>
                <w:sz w:val="28"/>
                <w:szCs w:val="28"/>
              </w:rPr>
            </w:pPr>
            <w:r>
              <w:rPr>
                <w:i/>
                <w:sz w:val="28"/>
                <w:szCs w:val="28"/>
              </w:rPr>
              <w:t>46</w:t>
            </w:r>
            <w:r>
              <w:rPr>
                <w:sz w:val="28"/>
                <w:szCs w:val="28"/>
              </w:rPr>
              <w:t>/7</w:t>
            </w:r>
            <w:r w:rsidRPr="000D0F11">
              <w:rPr>
                <w:sz w:val="28"/>
                <w:szCs w:val="28"/>
              </w:rPr>
              <w:t>5</w:t>
            </w:r>
          </w:p>
          <w:p w:rsidR="00A2372B" w:rsidRPr="00893A8C" w:rsidRDefault="00A2372B" w:rsidP="00EB036F">
            <w:pPr>
              <w:widowControl/>
              <w:spacing w:before="0"/>
              <w:rPr>
                <w:b/>
                <w:color w:val="FF0000"/>
                <w:sz w:val="28"/>
                <w:szCs w:val="28"/>
              </w:rPr>
            </w:pPr>
            <w:r>
              <w:rPr>
                <w:sz w:val="28"/>
                <w:szCs w:val="28"/>
              </w:rPr>
              <w:t xml:space="preserve">%= </w:t>
            </w:r>
            <w:r>
              <w:rPr>
                <w:b/>
                <w:color w:val="FF0000"/>
                <w:sz w:val="28"/>
                <w:szCs w:val="28"/>
              </w:rPr>
              <w:t>61</w:t>
            </w:r>
          </w:p>
        </w:tc>
        <w:tc>
          <w:tcPr>
            <w:tcW w:w="1134" w:type="dxa"/>
            <w:shd w:val="clear" w:color="auto" w:fill="auto"/>
          </w:tcPr>
          <w:p w:rsidR="00A2372B" w:rsidRDefault="00A2372B" w:rsidP="00EB036F">
            <w:pPr>
              <w:widowControl/>
              <w:spacing w:before="0"/>
              <w:jc w:val="center"/>
              <w:rPr>
                <w:sz w:val="28"/>
                <w:szCs w:val="28"/>
              </w:rPr>
            </w:pPr>
            <w:r>
              <w:rPr>
                <w:i/>
                <w:sz w:val="28"/>
                <w:szCs w:val="28"/>
              </w:rPr>
              <w:t>39</w:t>
            </w:r>
            <w:r>
              <w:rPr>
                <w:sz w:val="28"/>
                <w:szCs w:val="28"/>
              </w:rPr>
              <w:t>/75</w:t>
            </w:r>
          </w:p>
          <w:p w:rsidR="00A2372B" w:rsidRPr="00893A8C" w:rsidRDefault="00A2372B" w:rsidP="00EB036F">
            <w:pPr>
              <w:widowControl/>
              <w:spacing w:before="0"/>
              <w:rPr>
                <w:b/>
                <w:color w:val="FF0000"/>
                <w:sz w:val="28"/>
                <w:szCs w:val="28"/>
              </w:rPr>
            </w:pPr>
            <w:r>
              <w:rPr>
                <w:sz w:val="28"/>
                <w:szCs w:val="28"/>
              </w:rPr>
              <w:t xml:space="preserve">%= </w:t>
            </w:r>
            <w:r>
              <w:rPr>
                <w:b/>
                <w:color w:val="FF0000"/>
                <w:sz w:val="28"/>
                <w:szCs w:val="28"/>
              </w:rPr>
              <w:t>52</w:t>
            </w:r>
          </w:p>
        </w:tc>
      </w:tr>
      <w:tr w:rsidR="00A2372B" w:rsidRPr="000D0F11" w:rsidTr="00EB036F">
        <w:trPr>
          <w:trHeight w:val="432"/>
        </w:trPr>
        <w:tc>
          <w:tcPr>
            <w:tcW w:w="1328" w:type="dxa"/>
            <w:vMerge/>
          </w:tcPr>
          <w:p w:rsidR="00A2372B" w:rsidRPr="000D0F11" w:rsidRDefault="00A2372B" w:rsidP="00EB036F">
            <w:pPr>
              <w:widowControl/>
              <w:spacing w:before="0"/>
              <w:rPr>
                <w:sz w:val="28"/>
                <w:szCs w:val="28"/>
              </w:rPr>
            </w:pPr>
          </w:p>
        </w:tc>
        <w:tc>
          <w:tcPr>
            <w:tcW w:w="2703" w:type="dxa"/>
            <w:gridSpan w:val="2"/>
          </w:tcPr>
          <w:p w:rsidR="00A2372B" w:rsidRPr="000D0F11" w:rsidRDefault="00A2372B" w:rsidP="00EB036F">
            <w:pPr>
              <w:widowControl/>
              <w:spacing w:before="0"/>
              <w:rPr>
                <w:sz w:val="28"/>
                <w:szCs w:val="28"/>
              </w:rPr>
            </w:pPr>
            <w:r w:rsidRPr="000D0F11">
              <w:rPr>
                <w:sz w:val="28"/>
                <w:szCs w:val="28"/>
              </w:rPr>
              <w:t>9. Mid-semester 4 Exam: Gases &amp; Equilibrium</w:t>
            </w:r>
          </w:p>
        </w:tc>
        <w:tc>
          <w:tcPr>
            <w:tcW w:w="1703" w:type="dxa"/>
            <w:shd w:val="clear" w:color="auto" w:fill="auto"/>
          </w:tcPr>
          <w:p w:rsidR="00A2372B" w:rsidRPr="000D0F11" w:rsidRDefault="00A2372B" w:rsidP="00EB036F">
            <w:pPr>
              <w:widowControl/>
              <w:spacing w:before="0"/>
              <w:rPr>
                <w:sz w:val="28"/>
                <w:szCs w:val="28"/>
              </w:rPr>
            </w:pPr>
            <w:r w:rsidRPr="000D0F11">
              <w:rPr>
                <w:sz w:val="28"/>
                <w:szCs w:val="28"/>
              </w:rPr>
              <w:t>SA</w:t>
            </w:r>
          </w:p>
        </w:tc>
        <w:tc>
          <w:tcPr>
            <w:tcW w:w="1134" w:type="dxa"/>
            <w:shd w:val="clear" w:color="auto" w:fill="auto"/>
          </w:tcPr>
          <w:p w:rsidR="00A2372B" w:rsidRDefault="00A2372B" w:rsidP="00EB036F">
            <w:pPr>
              <w:widowControl/>
              <w:spacing w:before="0"/>
              <w:jc w:val="center"/>
              <w:rPr>
                <w:sz w:val="28"/>
                <w:szCs w:val="28"/>
              </w:rPr>
            </w:pPr>
            <w:r w:rsidRPr="000D0F11">
              <w:rPr>
                <w:i/>
                <w:sz w:val="28"/>
                <w:szCs w:val="28"/>
              </w:rPr>
              <w:t>40</w:t>
            </w:r>
            <w:r w:rsidRPr="000D0F11">
              <w:rPr>
                <w:sz w:val="28"/>
                <w:szCs w:val="28"/>
              </w:rPr>
              <w:t>/50</w:t>
            </w:r>
          </w:p>
          <w:p w:rsidR="00A2372B" w:rsidRPr="00893A8C" w:rsidRDefault="00A2372B" w:rsidP="00EB036F">
            <w:pPr>
              <w:widowControl/>
              <w:spacing w:before="0"/>
              <w:rPr>
                <w:b/>
                <w:color w:val="FF0000"/>
                <w:sz w:val="28"/>
                <w:szCs w:val="28"/>
              </w:rPr>
            </w:pPr>
            <w:r>
              <w:rPr>
                <w:sz w:val="28"/>
                <w:szCs w:val="28"/>
              </w:rPr>
              <w:t xml:space="preserve">%= </w:t>
            </w:r>
            <w:r>
              <w:rPr>
                <w:b/>
                <w:color w:val="FF0000"/>
                <w:sz w:val="28"/>
                <w:szCs w:val="28"/>
              </w:rPr>
              <w:t>80</w:t>
            </w:r>
          </w:p>
        </w:tc>
        <w:tc>
          <w:tcPr>
            <w:tcW w:w="1134" w:type="dxa"/>
            <w:shd w:val="clear" w:color="auto" w:fill="auto"/>
          </w:tcPr>
          <w:p w:rsidR="00A2372B" w:rsidRDefault="00A2372B" w:rsidP="00EB036F">
            <w:pPr>
              <w:widowControl/>
              <w:spacing w:before="0"/>
              <w:jc w:val="center"/>
              <w:rPr>
                <w:sz w:val="28"/>
                <w:szCs w:val="28"/>
              </w:rPr>
            </w:pPr>
            <w:r w:rsidRPr="000D0F11">
              <w:rPr>
                <w:i/>
                <w:sz w:val="28"/>
                <w:szCs w:val="28"/>
              </w:rPr>
              <w:t>33</w:t>
            </w:r>
            <w:r w:rsidRPr="000D0F11">
              <w:rPr>
                <w:sz w:val="28"/>
                <w:szCs w:val="28"/>
              </w:rPr>
              <w:t>/50</w:t>
            </w:r>
          </w:p>
          <w:p w:rsidR="00A2372B" w:rsidRPr="00893A8C" w:rsidRDefault="00A2372B" w:rsidP="00EB036F">
            <w:pPr>
              <w:widowControl/>
              <w:spacing w:before="0"/>
              <w:rPr>
                <w:b/>
                <w:color w:val="FF0000"/>
                <w:sz w:val="28"/>
                <w:szCs w:val="28"/>
              </w:rPr>
            </w:pPr>
            <w:r>
              <w:rPr>
                <w:sz w:val="28"/>
                <w:szCs w:val="28"/>
              </w:rPr>
              <w:t xml:space="preserve">%= </w:t>
            </w:r>
            <w:r>
              <w:rPr>
                <w:b/>
                <w:color w:val="FF0000"/>
                <w:sz w:val="28"/>
                <w:szCs w:val="28"/>
              </w:rPr>
              <w:t>66</w:t>
            </w:r>
          </w:p>
        </w:tc>
        <w:tc>
          <w:tcPr>
            <w:tcW w:w="1134" w:type="dxa"/>
            <w:shd w:val="clear" w:color="auto" w:fill="auto"/>
          </w:tcPr>
          <w:p w:rsidR="00A2372B" w:rsidRDefault="00A2372B" w:rsidP="00EB036F">
            <w:pPr>
              <w:widowControl/>
              <w:spacing w:before="0"/>
              <w:jc w:val="center"/>
              <w:rPr>
                <w:sz w:val="28"/>
                <w:szCs w:val="28"/>
              </w:rPr>
            </w:pPr>
            <w:r w:rsidRPr="000D0F11">
              <w:rPr>
                <w:i/>
                <w:sz w:val="28"/>
                <w:szCs w:val="28"/>
              </w:rPr>
              <w:t>30</w:t>
            </w:r>
            <w:r w:rsidRPr="000D0F11">
              <w:rPr>
                <w:sz w:val="28"/>
                <w:szCs w:val="28"/>
              </w:rPr>
              <w:t>/50</w:t>
            </w:r>
          </w:p>
          <w:p w:rsidR="00A2372B" w:rsidRPr="00893A8C" w:rsidRDefault="00A2372B" w:rsidP="00EB036F">
            <w:pPr>
              <w:widowControl/>
              <w:spacing w:before="0"/>
              <w:rPr>
                <w:b/>
                <w:color w:val="FF0000"/>
                <w:sz w:val="28"/>
                <w:szCs w:val="28"/>
              </w:rPr>
            </w:pPr>
            <w:r>
              <w:rPr>
                <w:sz w:val="28"/>
                <w:szCs w:val="28"/>
              </w:rPr>
              <w:t xml:space="preserve">%= </w:t>
            </w:r>
            <w:r>
              <w:rPr>
                <w:b/>
                <w:color w:val="FF0000"/>
                <w:sz w:val="28"/>
                <w:szCs w:val="28"/>
              </w:rPr>
              <w:t>60</w:t>
            </w:r>
          </w:p>
        </w:tc>
      </w:tr>
      <w:tr w:rsidR="00A2372B" w:rsidRPr="000D0F11" w:rsidTr="00EB036F">
        <w:trPr>
          <w:trHeight w:val="874"/>
        </w:trPr>
        <w:tc>
          <w:tcPr>
            <w:tcW w:w="1328" w:type="dxa"/>
            <w:vMerge/>
          </w:tcPr>
          <w:p w:rsidR="00A2372B" w:rsidRPr="000D0F11" w:rsidRDefault="00A2372B" w:rsidP="00EB036F">
            <w:pPr>
              <w:widowControl/>
              <w:spacing w:before="0"/>
              <w:rPr>
                <w:sz w:val="28"/>
                <w:szCs w:val="28"/>
              </w:rPr>
            </w:pPr>
          </w:p>
        </w:tc>
        <w:tc>
          <w:tcPr>
            <w:tcW w:w="2203" w:type="dxa"/>
            <w:vMerge w:val="restart"/>
          </w:tcPr>
          <w:p w:rsidR="00A2372B" w:rsidRPr="000D0F11" w:rsidRDefault="00A2372B" w:rsidP="00EB036F">
            <w:pPr>
              <w:widowControl/>
              <w:spacing w:before="0"/>
              <w:rPr>
                <w:sz w:val="28"/>
                <w:szCs w:val="28"/>
              </w:rPr>
            </w:pPr>
          </w:p>
          <w:p w:rsidR="00A2372B" w:rsidRPr="000D0F11" w:rsidRDefault="00A2372B" w:rsidP="00EB036F">
            <w:pPr>
              <w:widowControl/>
              <w:spacing w:before="0"/>
              <w:jc w:val="center"/>
              <w:rPr>
                <w:b/>
                <w:sz w:val="36"/>
                <w:szCs w:val="36"/>
              </w:rPr>
            </w:pPr>
            <w:r w:rsidRPr="000D0F11">
              <w:rPr>
                <w:b/>
                <w:sz w:val="36"/>
                <w:szCs w:val="36"/>
              </w:rPr>
              <w:t>Verification</w:t>
            </w:r>
          </w:p>
        </w:tc>
        <w:tc>
          <w:tcPr>
            <w:tcW w:w="2203" w:type="dxa"/>
            <w:gridSpan w:val="2"/>
            <w:vMerge w:val="restart"/>
          </w:tcPr>
          <w:p w:rsidR="00A2372B" w:rsidRPr="000D0F11" w:rsidRDefault="00A2372B" w:rsidP="00EB036F">
            <w:pPr>
              <w:widowControl/>
              <w:spacing w:before="0"/>
              <w:jc w:val="center"/>
              <w:rPr>
                <w:sz w:val="28"/>
                <w:szCs w:val="28"/>
              </w:rPr>
            </w:pPr>
          </w:p>
          <w:p w:rsidR="00A2372B" w:rsidRPr="000D0F11" w:rsidRDefault="00A2372B" w:rsidP="00EB036F">
            <w:pPr>
              <w:widowControl/>
              <w:spacing w:before="0"/>
              <w:jc w:val="right"/>
              <w:rPr>
                <w:sz w:val="28"/>
                <w:szCs w:val="28"/>
              </w:rPr>
            </w:pPr>
            <w:r>
              <w:rPr>
                <w:sz w:val="28"/>
                <w:szCs w:val="28"/>
              </w:rPr>
              <w:t xml:space="preserve">Av </w:t>
            </w:r>
            <w:r w:rsidRPr="000D0F11">
              <w:rPr>
                <w:sz w:val="28"/>
                <w:szCs w:val="28"/>
              </w:rPr>
              <w:t>% =</w:t>
            </w:r>
          </w:p>
          <w:p w:rsidR="00A2372B" w:rsidRPr="000D0F11" w:rsidRDefault="00A2372B" w:rsidP="00EB036F">
            <w:pPr>
              <w:widowControl/>
              <w:spacing w:before="0"/>
              <w:jc w:val="right"/>
              <w:rPr>
                <w:sz w:val="28"/>
                <w:szCs w:val="28"/>
              </w:rPr>
            </w:pPr>
          </w:p>
          <w:p w:rsidR="00A2372B" w:rsidRPr="000D0F11" w:rsidRDefault="00A2372B" w:rsidP="00EB036F">
            <w:pPr>
              <w:widowControl/>
              <w:spacing w:before="0"/>
              <w:jc w:val="right"/>
              <w:rPr>
                <w:sz w:val="28"/>
                <w:szCs w:val="28"/>
              </w:rPr>
            </w:pPr>
          </w:p>
          <w:p w:rsidR="00A2372B" w:rsidRPr="000D0F11" w:rsidRDefault="00A2372B" w:rsidP="00EB036F">
            <w:pPr>
              <w:widowControl/>
              <w:spacing w:before="0"/>
              <w:jc w:val="right"/>
              <w:rPr>
                <w:sz w:val="28"/>
                <w:szCs w:val="28"/>
              </w:rPr>
            </w:pPr>
            <w:r w:rsidRPr="000D0F11">
              <w:rPr>
                <w:sz w:val="28"/>
                <w:szCs w:val="28"/>
              </w:rPr>
              <w:t>L.O.A =</w:t>
            </w:r>
          </w:p>
        </w:tc>
        <w:tc>
          <w:tcPr>
            <w:tcW w:w="1134" w:type="dxa"/>
            <w:shd w:val="clear" w:color="auto" w:fill="auto"/>
          </w:tcPr>
          <w:p w:rsidR="00A2372B" w:rsidRDefault="00A2372B" w:rsidP="00EB036F">
            <w:pPr>
              <w:widowControl/>
              <w:spacing w:before="0"/>
              <w:jc w:val="center"/>
              <w:rPr>
                <w:sz w:val="28"/>
                <w:szCs w:val="28"/>
              </w:rPr>
            </w:pPr>
          </w:p>
          <w:p w:rsidR="00A2372B" w:rsidRPr="00893A8C" w:rsidRDefault="00A2372B" w:rsidP="00EB036F">
            <w:pPr>
              <w:widowControl/>
              <w:spacing w:before="0"/>
              <w:jc w:val="center"/>
              <w:rPr>
                <w:b/>
                <w:color w:val="FF0000"/>
                <w:sz w:val="28"/>
                <w:szCs w:val="28"/>
              </w:rPr>
            </w:pPr>
            <w:r>
              <w:rPr>
                <w:b/>
                <w:color w:val="FF0000"/>
                <w:sz w:val="28"/>
                <w:szCs w:val="28"/>
              </w:rPr>
              <w:t>72.5 %</w:t>
            </w:r>
          </w:p>
        </w:tc>
        <w:tc>
          <w:tcPr>
            <w:tcW w:w="1134" w:type="dxa"/>
            <w:shd w:val="clear" w:color="auto" w:fill="auto"/>
          </w:tcPr>
          <w:p w:rsidR="00A2372B" w:rsidRDefault="00A2372B" w:rsidP="00EB036F">
            <w:pPr>
              <w:widowControl/>
              <w:spacing w:before="0"/>
              <w:jc w:val="center"/>
              <w:rPr>
                <w:sz w:val="28"/>
                <w:szCs w:val="28"/>
              </w:rPr>
            </w:pPr>
          </w:p>
          <w:p w:rsidR="00A2372B" w:rsidRPr="00893A8C" w:rsidRDefault="00A2372B" w:rsidP="00EB036F">
            <w:pPr>
              <w:widowControl/>
              <w:spacing w:before="0"/>
              <w:jc w:val="center"/>
              <w:rPr>
                <w:b/>
                <w:color w:val="FF0000"/>
                <w:sz w:val="28"/>
                <w:szCs w:val="28"/>
              </w:rPr>
            </w:pPr>
            <w:r>
              <w:rPr>
                <w:b/>
                <w:color w:val="FF0000"/>
                <w:sz w:val="28"/>
                <w:szCs w:val="28"/>
              </w:rPr>
              <w:t>65.3 %</w:t>
            </w:r>
          </w:p>
        </w:tc>
        <w:tc>
          <w:tcPr>
            <w:tcW w:w="1134" w:type="dxa"/>
            <w:shd w:val="clear" w:color="auto" w:fill="auto"/>
          </w:tcPr>
          <w:p w:rsidR="00A2372B" w:rsidRDefault="00A2372B" w:rsidP="00EB036F">
            <w:pPr>
              <w:widowControl/>
              <w:spacing w:before="0"/>
              <w:jc w:val="center"/>
              <w:rPr>
                <w:sz w:val="28"/>
                <w:szCs w:val="28"/>
              </w:rPr>
            </w:pPr>
          </w:p>
          <w:p w:rsidR="00A2372B" w:rsidRPr="00893A8C" w:rsidRDefault="00A2372B" w:rsidP="00EB036F">
            <w:pPr>
              <w:widowControl/>
              <w:spacing w:before="0"/>
              <w:jc w:val="center"/>
              <w:rPr>
                <w:b/>
                <w:color w:val="FF0000"/>
                <w:sz w:val="28"/>
                <w:szCs w:val="28"/>
              </w:rPr>
            </w:pPr>
            <w:r>
              <w:rPr>
                <w:b/>
                <w:color w:val="FF0000"/>
                <w:sz w:val="28"/>
                <w:szCs w:val="28"/>
              </w:rPr>
              <w:t>54.5 %</w:t>
            </w:r>
          </w:p>
        </w:tc>
      </w:tr>
      <w:tr w:rsidR="00A2372B" w:rsidRPr="000D0F11" w:rsidTr="00EB036F">
        <w:trPr>
          <w:trHeight w:val="432"/>
        </w:trPr>
        <w:tc>
          <w:tcPr>
            <w:tcW w:w="1328" w:type="dxa"/>
            <w:vMerge/>
          </w:tcPr>
          <w:p w:rsidR="00A2372B" w:rsidRPr="000D0F11" w:rsidRDefault="00A2372B" w:rsidP="00EB036F">
            <w:pPr>
              <w:widowControl/>
              <w:spacing w:before="0"/>
              <w:rPr>
                <w:sz w:val="28"/>
                <w:szCs w:val="28"/>
              </w:rPr>
            </w:pPr>
          </w:p>
        </w:tc>
        <w:tc>
          <w:tcPr>
            <w:tcW w:w="2203" w:type="dxa"/>
            <w:vMerge/>
          </w:tcPr>
          <w:p w:rsidR="00A2372B" w:rsidRPr="000D0F11" w:rsidRDefault="00A2372B" w:rsidP="00EB036F">
            <w:pPr>
              <w:widowControl/>
              <w:spacing w:before="0"/>
              <w:rPr>
                <w:sz w:val="28"/>
                <w:szCs w:val="28"/>
              </w:rPr>
            </w:pPr>
          </w:p>
        </w:tc>
        <w:tc>
          <w:tcPr>
            <w:tcW w:w="2203" w:type="dxa"/>
            <w:gridSpan w:val="2"/>
            <w:vMerge/>
          </w:tcPr>
          <w:p w:rsidR="00A2372B" w:rsidRPr="000D0F11" w:rsidRDefault="00A2372B" w:rsidP="00EB036F">
            <w:pPr>
              <w:widowControl/>
              <w:spacing w:before="0"/>
              <w:rPr>
                <w:sz w:val="28"/>
                <w:szCs w:val="28"/>
              </w:rPr>
            </w:pPr>
          </w:p>
        </w:tc>
        <w:tc>
          <w:tcPr>
            <w:tcW w:w="1134" w:type="dxa"/>
            <w:shd w:val="clear" w:color="auto" w:fill="auto"/>
          </w:tcPr>
          <w:p w:rsidR="00A2372B" w:rsidRPr="00864D13" w:rsidRDefault="00A2372B" w:rsidP="00EB036F">
            <w:pPr>
              <w:widowControl/>
              <w:spacing w:before="0"/>
              <w:jc w:val="center"/>
              <w:rPr>
                <w:b/>
                <w:i/>
                <w:sz w:val="28"/>
                <w:szCs w:val="28"/>
              </w:rPr>
            </w:pPr>
            <w:r w:rsidRPr="00864D13">
              <w:rPr>
                <w:b/>
                <w:i/>
                <w:sz w:val="28"/>
                <w:szCs w:val="28"/>
              </w:rPr>
              <w:t>B</w:t>
            </w:r>
          </w:p>
        </w:tc>
        <w:tc>
          <w:tcPr>
            <w:tcW w:w="1134" w:type="dxa"/>
            <w:shd w:val="clear" w:color="auto" w:fill="auto"/>
          </w:tcPr>
          <w:p w:rsidR="00A2372B" w:rsidRPr="000D0F11" w:rsidRDefault="00A2372B" w:rsidP="00EB036F">
            <w:pPr>
              <w:widowControl/>
              <w:spacing w:before="0"/>
              <w:jc w:val="center"/>
              <w:rPr>
                <w:i/>
                <w:sz w:val="28"/>
                <w:szCs w:val="28"/>
              </w:rPr>
            </w:pPr>
            <w:r w:rsidRPr="000D0F11">
              <w:rPr>
                <w:i/>
                <w:sz w:val="28"/>
                <w:szCs w:val="28"/>
              </w:rPr>
              <w:t>B</w:t>
            </w:r>
            <w:r>
              <w:rPr>
                <w:i/>
                <w:sz w:val="28"/>
                <w:szCs w:val="28"/>
              </w:rPr>
              <w:t>-</w:t>
            </w:r>
          </w:p>
        </w:tc>
        <w:tc>
          <w:tcPr>
            <w:tcW w:w="1134" w:type="dxa"/>
            <w:shd w:val="clear" w:color="auto" w:fill="auto"/>
          </w:tcPr>
          <w:p w:rsidR="00A2372B" w:rsidRPr="000D0F11" w:rsidRDefault="00A2372B" w:rsidP="00EB036F">
            <w:pPr>
              <w:widowControl/>
              <w:spacing w:before="0"/>
              <w:jc w:val="center"/>
              <w:rPr>
                <w:i/>
                <w:sz w:val="28"/>
                <w:szCs w:val="28"/>
              </w:rPr>
            </w:pPr>
            <w:r w:rsidRPr="000D0F11">
              <w:rPr>
                <w:i/>
                <w:sz w:val="28"/>
                <w:szCs w:val="28"/>
              </w:rPr>
              <w:t>C+</w:t>
            </w:r>
          </w:p>
        </w:tc>
      </w:tr>
      <w:tr w:rsidR="00A2372B" w:rsidRPr="000D0F11" w:rsidTr="00EB036F">
        <w:trPr>
          <w:trHeight w:val="432"/>
        </w:trPr>
        <w:tc>
          <w:tcPr>
            <w:tcW w:w="1328" w:type="dxa"/>
            <w:vMerge/>
          </w:tcPr>
          <w:p w:rsidR="00A2372B" w:rsidRPr="000D0F11" w:rsidRDefault="00A2372B" w:rsidP="00EB036F">
            <w:pPr>
              <w:widowControl/>
              <w:spacing w:before="0"/>
              <w:rPr>
                <w:sz w:val="28"/>
                <w:szCs w:val="28"/>
              </w:rPr>
            </w:pPr>
          </w:p>
        </w:tc>
        <w:tc>
          <w:tcPr>
            <w:tcW w:w="2203" w:type="dxa"/>
            <w:vMerge/>
          </w:tcPr>
          <w:p w:rsidR="00A2372B" w:rsidRPr="000D0F11" w:rsidRDefault="00A2372B" w:rsidP="00EB036F">
            <w:pPr>
              <w:widowControl/>
              <w:spacing w:before="0"/>
              <w:rPr>
                <w:sz w:val="28"/>
                <w:szCs w:val="28"/>
              </w:rPr>
            </w:pPr>
          </w:p>
        </w:tc>
        <w:tc>
          <w:tcPr>
            <w:tcW w:w="2203" w:type="dxa"/>
            <w:gridSpan w:val="2"/>
            <w:vMerge/>
          </w:tcPr>
          <w:p w:rsidR="00A2372B" w:rsidRPr="000D0F11" w:rsidRDefault="00A2372B" w:rsidP="00EB036F">
            <w:pPr>
              <w:widowControl/>
              <w:spacing w:before="0"/>
              <w:rPr>
                <w:sz w:val="28"/>
                <w:szCs w:val="28"/>
              </w:rPr>
            </w:pPr>
          </w:p>
        </w:tc>
        <w:tc>
          <w:tcPr>
            <w:tcW w:w="3402" w:type="dxa"/>
            <w:gridSpan w:val="3"/>
            <w:shd w:val="clear" w:color="auto" w:fill="auto"/>
          </w:tcPr>
          <w:p w:rsidR="00A2372B" w:rsidRPr="000D0F11" w:rsidRDefault="00A2372B" w:rsidP="00EB036F">
            <w:pPr>
              <w:widowControl/>
              <w:spacing w:before="0"/>
              <w:rPr>
                <w:i/>
                <w:sz w:val="28"/>
                <w:szCs w:val="28"/>
              </w:rPr>
            </w:pPr>
            <w:r w:rsidRPr="00864D13">
              <w:rPr>
                <w:b/>
                <w:i/>
                <w:color w:val="FF0000"/>
                <w:sz w:val="28"/>
                <w:szCs w:val="28"/>
              </w:rPr>
              <w:t>64.1 %</w:t>
            </w:r>
            <w:r w:rsidRPr="00864D13">
              <w:rPr>
                <w:i/>
                <w:color w:val="FF0000"/>
                <w:sz w:val="28"/>
                <w:szCs w:val="28"/>
              </w:rPr>
              <w:t xml:space="preserve">  </w:t>
            </w:r>
            <w:r w:rsidRPr="000D0F11">
              <w:rPr>
                <w:i/>
                <w:sz w:val="28"/>
                <w:szCs w:val="28"/>
              </w:rPr>
              <w:t>=  B</w:t>
            </w:r>
            <w:r>
              <w:rPr>
                <w:i/>
                <w:sz w:val="28"/>
                <w:szCs w:val="28"/>
              </w:rPr>
              <w:t xml:space="preserve">-  =  </w:t>
            </w:r>
            <w:r w:rsidRPr="00864D13">
              <w:rPr>
                <w:b/>
                <w:i/>
                <w:color w:val="FF0000"/>
                <w:sz w:val="28"/>
                <w:szCs w:val="28"/>
              </w:rPr>
              <w:t>HA2</w:t>
            </w:r>
          </w:p>
          <w:p w:rsidR="00A2372B" w:rsidRPr="000D0F11" w:rsidRDefault="00A2372B" w:rsidP="00EB036F">
            <w:pPr>
              <w:widowControl/>
              <w:spacing w:before="0"/>
              <w:rPr>
                <w:sz w:val="28"/>
                <w:szCs w:val="28"/>
              </w:rPr>
            </w:pPr>
          </w:p>
        </w:tc>
      </w:tr>
      <w:tr w:rsidR="00A2372B" w:rsidRPr="000D0F11" w:rsidTr="00EB036F">
        <w:trPr>
          <w:trHeight w:val="432"/>
        </w:trPr>
        <w:tc>
          <w:tcPr>
            <w:tcW w:w="1328" w:type="dxa"/>
            <w:vMerge/>
          </w:tcPr>
          <w:p w:rsidR="00A2372B" w:rsidRPr="000D0F11" w:rsidRDefault="00A2372B" w:rsidP="00EB036F">
            <w:pPr>
              <w:widowControl/>
              <w:spacing w:before="0"/>
              <w:rPr>
                <w:sz w:val="28"/>
                <w:szCs w:val="28"/>
              </w:rPr>
            </w:pPr>
          </w:p>
        </w:tc>
        <w:tc>
          <w:tcPr>
            <w:tcW w:w="2703" w:type="dxa"/>
            <w:gridSpan w:val="2"/>
          </w:tcPr>
          <w:p w:rsidR="00A2372B" w:rsidRPr="000D0F11" w:rsidRDefault="00A2372B" w:rsidP="00EB036F">
            <w:pPr>
              <w:widowControl/>
              <w:spacing w:before="0"/>
              <w:rPr>
                <w:sz w:val="28"/>
                <w:szCs w:val="28"/>
              </w:rPr>
            </w:pPr>
            <w:r w:rsidRPr="000D0F11">
              <w:rPr>
                <w:sz w:val="28"/>
                <w:szCs w:val="28"/>
              </w:rPr>
              <w:t xml:space="preserve">10. Acid-Base </w:t>
            </w:r>
            <w:proofErr w:type="spellStart"/>
            <w:r w:rsidRPr="000D0F11">
              <w:rPr>
                <w:sz w:val="28"/>
                <w:szCs w:val="28"/>
              </w:rPr>
              <w:t>Equilibria</w:t>
            </w:r>
            <w:proofErr w:type="spellEnd"/>
          </w:p>
        </w:tc>
        <w:tc>
          <w:tcPr>
            <w:tcW w:w="1703" w:type="dxa"/>
            <w:shd w:val="clear" w:color="auto" w:fill="auto"/>
          </w:tcPr>
          <w:p w:rsidR="00A2372B" w:rsidRPr="000D0F11" w:rsidRDefault="00A2372B" w:rsidP="00EB036F">
            <w:pPr>
              <w:widowControl/>
              <w:spacing w:before="0"/>
              <w:rPr>
                <w:sz w:val="28"/>
                <w:szCs w:val="28"/>
              </w:rPr>
            </w:pPr>
            <w:r w:rsidRPr="000D0F11">
              <w:rPr>
                <w:sz w:val="28"/>
                <w:szCs w:val="28"/>
              </w:rPr>
              <w:t>SA</w:t>
            </w:r>
          </w:p>
        </w:tc>
        <w:tc>
          <w:tcPr>
            <w:tcW w:w="1134" w:type="dxa"/>
            <w:shd w:val="clear" w:color="auto" w:fill="auto"/>
          </w:tcPr>
          <w:p w:rsidR="00A2372B" w:rsidRDefault="00A2372B" w:rsidP="00EB036F">
            <w:pPr>
              <w:widowControl/>
              <w:spacing w:before="0"/>
              <w:jc w:val="center"/>
              <w:rPr>
                <w:sz w:val="28"/>
                <w:szCs w:val="28"/>
              </w:rPr>
            </w:pPr>
            <w:r w:rsidRPr="000D0F11">
              <w:rPr>
                <w:i/>
                <w:sz w:val="28"/>
                <w:szCs w:val="28"/>
              </w:rPr>
              <w:t>35</w:t>
            </w:r>
            <w:r w:rsidRPr="000D0F11">
              <w:rPr>
                <w:sz w:val="28"/>
                <w:szCs w:val="28"/>
              </w:rPr>
              <w:t>/50</w:t>
            </w:r>
          </w:p>
          <w:p w:rsidR="00A2372B" w:rsidRPr="00864D13" w:rsidRDefault="00A2372B" w:rsidP="00EB036F">
            <w:pPr>
              <w:widowControl/>
              <w:spacing w:before="0"/>
              <w:jc w:val="center"/>
              <w:rPr>
                <w:b/>
                <w:color w:val="FF0000"/>
                <w:sz w:val="28"/>
                <w:szCs w:val="28"/>
              </w:rPr>
            </w:pPr>
            <w:r>
              <w:rPr>
                <w:sz w:val="28"/>
                <w:szCs w:val="28"/>
              </w:rPr>
              <w:t xml:space="preserve">%= </w:t>
            </w:r>
            <w:r>
              <w:rPr>
                <w:b/>
                <w:color w:val="FF0000"/>
                <w:sz w:val="28"/>
                <w:szCs w:val="28"/>
              </w:rPr>
              <w:t>70</w:t>
            </w:r>
          </w:p>
        </w:tc>
        <w:tc>
          <w:tcPr>
            <w:tcW w:w="1134" w:type="dxa"/>
            <w:shd w:val="clear" w:color="auto" w:fill="auto"/>
          </w:tcPr>
          <w:p w:rsidR="00A2372B" w:rsidRDefault="00A2372B" w:rsidP="00EB036F">
            <w:pPr>
              <w:widowControl/>
              <w:spacing w:before="0"/>
              <w:jc w:val="center"/>
              <w:rPr>
                <w:sz w:val="28"/>
                <w:szCs w:val="28"/>
              </w:rPr>
            </w:pPr>
            <w:r w:rsidRPr="000D0F11">
              <w:rPr>
                <w:i/>
                <w:sz w:val="28"/>
                <w:szCs w:val="28"/>
              </w:rPr>
              <w:t>30</w:t>
            </w:r>
            <w:r w:rsidRPr="000D0F11">
              <w:rPr>
                <w:sz w:val="28"/>
                <w:szCs w:val="28"/>
              </w:rPr>
              <w:t>/50</w:t>
            </w:r>
          </w:p>
          <w:p w:rsidR="00A2372B" w:rsidRPr="00864D13" w:rsidRDefault="00A2372B" w:rsidP="00EB036F">
            <w:pPr>
              <w:widowControl/>
              <w:spacing w:before="0"/>
              <w:jc w:val="center"/>
              <w:rPr>
                <w:b/>
                <w:color w:val="FF0000"/>
                <w:sz w:val="28"/>
                <w:szCs w:val="28"/>
              </w:rPr>
            </w:pPr>
            <w:r>
              <w:rPr>
                <w:sz w:val="28"/>
                <w:szCs w:val="28"/>
              </w:rPr>
              <w:t xml:space="preserve">%= </w:t>
            </w:r>
            <w:r>
              <w:rPr>
                <w:b/>
                <w:color w:val="FF0000"/>
                <w:sz w:val="28"/>
                <w:szCs w:val="28"/>
              </w:rPr>
              <w:t>60</w:t>
            </w:r>
          </w:p>
        </w:tc>
        <w:tc>
          <w:tcPr>
            <w:tcW w:w="1134" w:type="dxa"/>
            <w:shd w:val="clear" w:color="auto" w:fill="auto"/>
          </w:tcPr>
          <w:p w:rsidR="00A2372B" w:rsidRDefault="00A2372B" w:rsidP="00EB036F">
            <w:pPr>
              <w:widowControl/>
              <w:spacing w:before="0"/>
              <w:jc w:val="center"/>
              <w:rPr>
                <w:sz w:val="28"/>
                <w:szCs w:val="28"/>
              </w:rPr>
            </w:pPr>
            <w:r w:rsidRPr="000D0F11">
              <w:rPr>
                <w:i/>
                <w:sz w:val="28"/>
                <w:szCs w:val="28"/>
              </w:rPr>
              <w:t>27</w:t>
            </w:r>
            <w:r w:rsidRPr="000D0F11">
              <w:rPr>
                <w:sz w:val="28"/>
                <w:szCs w:val="28"/>
              </w:rPr>
              <w:t>/50</w:t>
            </w:r>
          </w:p>
          <w:p w:rsidR="00A2372B" w:rsidRPr="00864D13" w:rsidRDefault="00A2372B" w:rsidP="00EB036F">
            <w:pPr>
              <w:widowControl/>
              <w:spacing w:before="0"/>
              <w:jc w:val="center"/>
              <w:rPr>
                <w:b/>
                <w:color w:val="FF0000"/>
                <w:sz w:val="28"/>
                <w:szCs w:val="28"/>
              </w:rPr>
            </w:pPr>
            <w:r>
              <w:rPr>
                <w:sz w:val="28"/>
                <w:szCs w:val="28"/>
              </w:rPr>
              <w:t xml:space="preserve">%= </w:t>
            </w:r>
            <w:r>
              <w:rPr>
                <w:b/>
                <w:color w:val="FF0000"/>
                <w:sz w:val="28"/>
                <w:szCs w:val="28"/>
              </w:rPr>
              <w:t>54</w:t>
            </w:r>
          </w:p>
        </w:tc>
      </w:tr>
      <w:tr w:rsidR="00A2372B" w:rsidRPr="000D0F11" w:rsidTr="00EB036F">
        <w:trPr>
          <w:trHeight w:val="874"/>
        </w:trPr>
        <w:tc>
          <w:tcPr>
            <w:tcW w:w="1328" w:type="dxa"/>
            <w:vMerge/>
          </w:tcPr>
          <w:p w:rsidR="00A2372B" w:rsidRPr="000D0F11" w:rsidRDefault="00A2372B" w:rsidP="00EB036F">
            <w:pPr>
              <w:widowControl/>
              <w:spacing w:before="0"/>
              <w:rPr>
                <w:sz w:val="28"/>
                <w:szCs w:val="28"/>
              </w:rPr>
            </w:pPr>
          </w:p>
        </w:tc>
        <w:tc>
          <w:tcPr>
            <w:tcW w:w="2203" w:type="dxa"/>
            <w:vMerge w:val="restart"/>
          </w:tcPr>
          <w:p w:rsidR="00A2372B" w:rsidRPr="000D0F11" w:rsidRDefault="00A2372B" w:rsidP="00EB036F">
            <w:pPr>
              <w:widowControl/>
              <w:spacing w:before="0"/>
              <w:jc w:val="center"/>
              <w:rPr>
                <w:sz w:val="36"/>
                <w:szCs w:val="36"/>
              </w:rPr>
            </w:pPr>
            <w:r w:rsidRPr="000D0F11">
              <w:rPr>
                <w:b/>
                <w:sz w:val="36"/>
                <w:szCs w:val="36"/>
              </w:rPr>
              <w:t>Exit</w:t>
            </w:r>
          </w:p>
        </w:tc>
        <w:tc>
          <w:tcPr>
            <w:tcW w:w="2203" w:type="dxa"/>
            <w:gridSpan w:val="2"/>
            <w:vMerge w:val="restart"/>
          </w:tcPr>
          <w:p w:rsidR="00A2372B" w:rsidRPr="000D0F11" w:rsidRDefault="00A2372B" w:rsidP="00EB036F">
            <w:pPr>
              <w:widowControl/>
              <w:spacing w:before="0"/>
              <w:jc w:val="right"/>
              <w:rPr>
                <w:sz w:val="28"/>
                <w:szCs w:val="28"/>
              </w:rPr>
            </w:pPr>
          </w:p>
          <w:p w:rsidR="00A2372B" w:rsidRPr="000D0F11" w:rsidRDefault="00A2372B" w:rsidP="00EB036F">
            <w:pPr>
              <w:widowControl/>
              <w:spacing w:before="0"/>
              <w:jc w:val="right"/>
              <w:rPr>
                <w:sz w:val="28"/>
                <w:szCs w:val="28"/>
              </w:rPr>
            </w:pPr>
            <w:r>
              <w:rPr>
                <w:sz w:val="28"/>
                <w:szCs w:val="28"/>
              </w:rPr>
              <w:t xml:space="preserve">Av </w:t>
            </w:r>
            <w:r w:rsidRPr="000D0F11">
              <w:rPr>
                <w:sz w:val="28"/>
                <w:szCs w:val="28"/>
              </w:rPr>
              <w:t>% =</w:t>
            </w:r>
          </w:p>
          <w:p w:rsidR="00A2372B" w:rsidRPr="000D0F11" w:rsidRDefault="00A2372B" w:rsidP="00EB036F">
            <w:pPr>
              <w:widowControl/>
              <w:spacing w:before="0"/>
              <w:jc w:val="right"/>
              <w:rPr>
                <w:sz w:val="28"/>
                <w:szCs w:val="28"/>
              </w:rPr>
            </w:pPr>
          </w:p>
          <w:p w:rsidR="00A2372B" w:rsidRPr="000D0F11" w:rsidRDefault="00A2372B" w:rsidP="00EB036F">
            <w:pPr>
              <w:widowControl/>
              <w:spacing w:before="0"/>
              <w:jc w:val="right"/>
              <w:rPr>
                <w:sz w:val="28"/>
                <w:szCs w:val="28"/>
              </w:rPr>
            </w:pPr>
          </w:p>
          <w:p w:rsidR="00A2372B" w:rsidRPr="000D0F11" w:rsidRDefault="00A2372B" w:rsidP="00EB036F">
            <w:pPr>
              <w:widowControl/>
              <w:spacing w:before="0"/>
              <w:jc w:val="right"/>
              <w:rPr>
                <w:b/>
                <w:sz w:val="28"/>
                <w:szCs w:val="28"/>
              </w:rPr>
            </w:pPr>
            <w:r w:rsidRPr="000D0F11">
              <w:rPr>
                <w:sz w:val="28"/>
                <w:szCs w:val="28"/>
              </w:rPr>
              <w:t>L.O.A =</w:t>
            </w:r>
          </w:p>
        </w:tc>
        <w:tc>
          <w:tcPr>
            <w:tcW w:w="1134" w:type="dxa"/>
            <w:shd w:val="clear" w:color="auto" w:fill="auto"/>
          </w:tcPr>
          <w:p w:rsidR="00A2372B" w:rsidRDefault="00A2372B" w:rsidP="00EB036F">
            <w:pPr>
              <w:widowControl/>
              <w:spacing w:before="0"/>
              <w:jc w:val="center"/>
              <w:rPr>
                <w:sz w:val="28"/>
                <w:szCs w:val="28"/>
              </w:rPr>
            </w:pPr>
          </w:p>
          <w:p w:rsidR="00A2372B" w:rsidRPr="00864D13" w:rsidRDefault="00A2372B" w:rsidP="00EB036F">
            <w:pPr>
              <w:widowControl/>
              <w:spacing w:before="0"/>
              <w:jc w:val="center"/>
              <w:rPr>
                <w:b/>
                <w:color w:val="FF0000"/>
                <w:sz w:val="28"/>
                <w:szCs w:val="28"/>
              </w:rPr>
            </w:pPr>
            <w:r>
              <w:rPr>
                <w:b/>
                <w:color w:val="FF0000"/>
                <w:sz w:val="28"/>
                <w:szCs w:val="28"/>
              </w:rPr>
              <w:t>72.0 %</w:t>
            </w:r>
          </w:p>
        </w:tc>
        <w:tc>
          <w:tcPr>
            <w:tcW w:w="1134" w:type="dxa"/>
            <w:shd w:val="clear" w:color="auto" w:fill="auto"/>
          </w:tcPr>
          <w:p w:rsidR="00A2372B" w:rsidRDefault="00A2372B" w:rsidP="00EB036F">
            <w:pPr>
              <w:widowControl/>
              <w:spacing w:before="0"/>
              <w:jc w:val="center"/>
              <w:rPr>
                <w:sz w:val="28"/>
                <w:szCs w:val="28"/>
              </w:rPr>
            </w:pPr>
          </w:p>
          <w:p w:rsidR="00A2372B" w:rsidRPr="00864D13" w:rsidRDefault="00A2372B" w:rsidP="00EB036F">
            <w:pPr>
              <w:widowControl/>
              <w:spacing w:before="0"/>
              <w:jc w:val="center"/>
              <w:rPr>
                <w:b/>
                <w:color w:val="FF0000"/>
                <w:sz w:val="28"/>
                <w:szCs w:val="28"/>
              </w:rPr>
            </w:pPr>
            <w:r>
              <w:rPr>
                <w:b/>
                <w:color w:val="FF0000"/>
                <w:sz w:val="28"/>
                <w:szCs w:val="28"/>
              </w:rPr>
              <w:t>64.2 %</w:t>
            </w:r>
          </w:p>
        </w:tc>
        <w:tc>
          <w:tcPr>
            <w:tcW w:w="1134" w:type="dxa"/>
            <w:shd w:val="clear" w:color="auto" w:fill="auto"/>
          </w:tcPr>
          <w:p w:rsidR="00A2372B" w:rsidRDefault="00A2372B" w:rsidP="00EB036F">
            <w:pPr>
              <w:widowControl/>
              <w:spacing w:before="0"/>
              <w:jc w:val="center"/>
              <w:rPr>
                <w:sz w:val="28"/>
                <w:szCs w:val="28"/>
              </w:rPr>
            </w:pPr>
          </w:p>
          <w:p w:rsidR="00A2372B" w:rsidRPr="00864D13" w:rsidRDefault="00A2372B" w:rsidP="00EB036F">
            <w:pPr>
              <w:widowControl/>
              <w:spacing w:before="0"/>
              <w:jc w:val="center"/>
              <w:rPr>
                <w:b/>
                <w:color w:val="FF0000"/>
                <w:sz w:val="28"/>
                <w:szCs w:val="28"/>
              </w:rPr>
            </w:pPr>
            <w:r>
              <w:rPr>
                <w:b/>
                <w:color w:val="FF0000"/>
                <w:sz w:val="28"/>
                <w:szCs w:val="28"/>
              </w:rPr>
              <w:t>54.4 %</w:t>
            </w:r>
          </w:p>
        </w:tc>
      </w:tr>
      <w:tr w:rsidR="00A2372B" w:rsidRPr="000D0F11" w:rsidTr="00EB036F">
        <w:trPr>
          <w:trHeight w:val="432"/>
        </w:trPr>
        <w:tc>
          <w:tcPr>
            <w:tcW w:w="1328" w:type="dxa"/>
            <w:vMerge/>
          </w:tcPr>
          <w:p w:rsidR="00A2372B" w:rsidRPr="000D0F11" w:rsidRDefault="00A2372B" w:rsidP="00EB036F">
            <w:pPr>
              <w:widowControl/>
              <w:spacing w:before="0"/>
              <w:rPr>
                <w:sz w:val="28"/>
                <w:szCs w:val="28"/>
              </w:rPr>
            </w:pPr>
          </w:p>
        </w:tc>
        <w:tc>
          <w:tcPr>
            <w:tcW w:w="2203" w:type="dxa"/>
            <w:vMerge/>
          </w:tcPr>
          <w:p w:rsidR="00A2372B" w:rsidRPr="000D0F11" w:rsidRDefault="00A2372B" w:rsidP="00EB036F">
            <w:pPr>
              <w:widowControl/>
              <w:spacing w:before="0"/>
              <w:jc w:val="center"/>
              <w:rPr>
                <w:sz w:val="28"/>
                <w:szCs w:val="28"/>
              </w:rPr>
            </w:pPr>
          </w:p>
        </w:tc>
        <w:tc>
          <w:tcPr>
            <w:tcW w:w="2203" w:type="dxa"/>
            <w:gridSpan w:val="2"/>
            <w:vMerge/>
          </w:tcPr>
          <w:p w:rsidR="00A2372B" w:rsidRPr="000D0F11" w:rsidRDefault="00A2372B" w:rsidP="00EB036F">
            <w:pPr>
              <w:widowControl/>
              <w:spacing w:before="0"/>
              <w:jc w:val="center"/>
              <w:rPr>
                <w:sz w:val="28"/>
                <w:szCs w:val="28"/>
              </w:rPr>
            </w:pPr>
          </w:p>
        </w:tc>
        <w:tc>
          <w:tcPr>
            <w:tcW w:w="1134" w:type="dxa"/>
            <w:shd w:val="clear" w:color="auto" w:fill="auto"/>
          </w:tcPr>
          <w:p w:rsidR="00A2372B" w:rsidRPr="00864D13" w:rsidRDefault="00A2372B" w:rsidP="00EB036F">
            <w:pPr>
              <w:widowControl/>
              <w:spacing w:before="0"/>
              <w:jc w:val="center"/>
              <w:rPr>
                <w:b/>
                <w:i/>
                <w:sz w:val="28"/>
                <w:szCs w:val="28"/>
              </w:rPr>
            </w:pPr>
            <w:r w:rsidRPr="00864D13">
              <w:rPr>
                <w:b/>
                <w:i/>
                <w:sz w:val="28"/>
                <w:szCs w:val="28"/>
              </w:rPr>
              <w:t>B</w:t>
            </w:r>
          </w:p>
        </w:tc>
        <w:tc>
          <w:tcPr>
            <w:tcW w:w="1134" w:type="dxa"/>
            <w:shd w:val="clear" w:color="auto" w:fill="auto"/>
          </w:tcPr>
          <w:p w:rsidR="00A2372B" w:rsidRPr="000D0F11" w:rsidRDefault="00A2372B" w:rsidP="00EB036F">
            <w:pPr>
              <w:widowControl/>
              <w:spacing w:before="0"/>
              <w:jc w:val="center"/>
              <w:rPr>
                <w:i/>
                <w:sz w:val="28"/>
                <w:szCs w:val="28"/>
              </w:rPr>
            </w:pPr>
            <w:r w:rsidRPr="000D0F11">
              <w:rPr>
                <w:i/>
                <w:sz w:val="28"/>
                <w:szCs w:val="28"/>
              </w:rPr>
              <w:t>B</w:t>
            </w:r>
            <w:r>
              <w:rPr>
                <w:i/>
                <w:sz w:val="28"/>
                <w:szCs w:val="28"/>
              </w:rPr>
              <w:t>-</w:t>
            </w:r>
          </w:p>
        </w:tc>
        <w:tc>
          <w:tcPr>
            <w:tcW w:w="1134" w:type="dxa"/>
            <w:shd w:val="clear" w:color="auto" w:fill="auto"/>
          </w:tcPr>
          <w:p w:rsidR="00A2372B" w:rsidRPr="000D0F11" w:rsidRDefault="00A2372B" w:rsidP="00EB036F">
            <w:pPr>
              <w:widowControl/>
              <w:spacing w:before="0"/>
              <w:jc w:val="center"/>
              <w:rPr>
                <w:i/>
                <w:sz w:val="28"/>
                <w:szCs w:val="28"/>
              </w:rPr>
            </w:pPr>
            <w:r w:rsidRPr="000D0F11">
              <w:rPr>
                <w:i/>
                <w:sz w:val="28"/>
                <w:szCs w:val="28"/>
              </w:rPr>
              <w:t>C+</w:t>
            </w:r>
          </w:p>
        </w:tc>
      </w:tr>
      <w:tr w:rsidR="00A2372B" w:rsidRPr="000D0F11" w:rsidTr="00EB036F">
        <w:trPr>
          <w:trHeight w:val="432"/>
        </w:trPr>
        <w:tc>
          <w:tcPr>
            <w:tcW w:w="1328" w:type="dxa"/>
            <w:vMerge/>
          </w:tcPr>
          <w:p w:rsidR="00A2372B" w:rsidRPr="000D0F11" w:rsidRDefault="00A2372B" w:rsidP="00EB036F">
            <w:pPr>
              <w:widowControl/>
              <w:spacing w:before="0"/>
              <w:rPr>
                <w:sz w:val="28"/>
                <w:szCs w:val="28"/>
              </w:rPr>
            </w:pPr>
          </w:p>
        </w:tc>
        <w:tc>
          <w:tcPr>
            <w:tcW w:w="2203" w:type="dxa"/>
            <w:vMerge/>
          </w:tcPr>
          <w:p w:rsidR="00A2372B" w:rsidRPr="000D0F11" w:rsidRDefault="00A2372B" w:rsidP="00EB036F">
            <w:pPr>
              <w:widowControl/>
              <w:spacing w:before="0"/>
              <w:jc w:val="center"/>
              <w:rPr>
                <w:sz w:val="28"/>
                <w:szCs w:val="28"/>
              </w:rPr>
            </w:pPr>
          </w:p>
        </w:tc>
        <w:tc>
          <w:tcPr>
            <w:tcW w:w="2203" w:type="dxa"/>
            <w:gridSpan w:val="2"/>
            <w:vMerge/>
          </w:tcPr>
          <w:p w:rsidR="00A2372B" w:rsidRPr="000D0F11" w:rsidRDefault="00A2372B" w:rsidP="00EB036F">
            <w:pPr>
              <w:widowControl/>
              <w:spacing w:before="0"/>
              <w:jc w:val="center"/>
              <w:rPr>
                <w:sz w:val="28"/>
                <w:szCs w:val="28"/>
              </w:rPr>
            </w:pPr>
          </w:p>
        </w:tc>
        <w:tc>
          <w:tcPr>
            <w:tcW w:w="3402" w:type="dxa"/>
            <w:gridSpan w:val="3"/>
            <w:shd w:val="clear" w:color="auto" w:fill="auto"/>
          </w:tcPr>
          <w:p w:rsidR="00A2372B" w:rsidRPr="000D0F11" w:rsidRDefault="00A2372B" w:rsidP="00EB036F">
            <w:pPr>
              <w:widowControl/>
              <w:spacing w:before="0"/>
              <w:rPr>
                <w:i/>
                <w:sz w:val="28"/>
                <w:szCs w:val="28"/>
              </w:rPr>
            </w:pPr>
            <w:r w:rsidRPr="00864D13">
              <w:rPr>
                <w:b/>
                <w:i/>
                <w:color w:val="FF0000"/>
                <w:sz w:val="28"/>
                <w:szCs w:val="28"/>
              </w:rPr>
              <w:t>63.5 %</w:t>
            </w:r>
            <w:r w:rsidRPr="00864D13">
              <w:rPr>
                <w:i/>
                <w:color w:val="FF0000"/>
                <w:sz w:val="28"/>
                <w:szCs w:val="28"/>
              </w:rPr>
              <w:t xml:space="preserve">  </w:t>
            </w:r>
            <w:r w:rsidRPr="000D0F11">
              <w:rPr>
                <w:i/>
                <w:sz w:val="28"/>
                <w:szCs w:val="28"/>
              </w:rPr>
              <w:t>=  B</w:t>
            </w:r>
            <w:r>
              <w:rPr>
                <w:i/>
                <w:sz w:val="28"/>
                <w:szCs w:val="28"/>
              </w:rPr>
              <w:t xml:space="preserve">-  =  </w:t>
            </w:r>
            <w:r w:rsidRPr="00864D13">
              <w:rPr>
                <w:i/>
                <w:color w:val="FF0000"/>
                <w:sz w:val="28"/>
                <w:szCs w:val="28"/>
              </w:rPr>
              <w:t>HA1</w:t>
            </w:r>
          </w:p>
        </w:tc>
      </w:tr>
    </w:tbl>
    <w:p w:rsidR="00A2372B" w:rsidRDefault="00A2372B" w:rsidP="00A2372B">
      <w:pPr>
        <w:widowControl/>
        <w:spacing w:before="0" w:after="200" w:line="276" w:lineRule="auto"/>
        <w:rPr>
          <w:rFonts w:asciiTheme="minorHAnsi" w:eastAsiaTheme="minorHAnsi" w:hAnsiTheme="minorHAnsi" w:cstheme="minorBidi"/>
          <w:sz w:val="28"/>
          <w:szCs w:val="28"/>
        </w:rPr>
      </w:pPr>
      <w:r>
        <w:rPr>
          <w:sz w:val="28"/>
          <w:szCs w:val="28"/>
        </w:rPr>
        <w:br w:type="page"/>
      </w:r>
    </w:p>
    <w:p w:rsidR="00A2372B" w:rsidRDefault="00A2372B" w:rsidP="00A2372B">
      <w:pPr>
        <w:pStyle w:val="NoSpacing"/>
        <w:rPr>
          <w:sz w:val="28"/>
          <w:szCs w:val="28"/>
        </w:rPr>
      </w:pPr>
      <w:r>
        <w:rPr>
          <w:sz w:val="28"/>
          <w:szCs w:val="28"/>
          <w:u w:val="single"/>
        </w:rPr>
        <w:lastRenderedPageBreak/>
        <w:t>Applying the Use of Marks in Assessment Instruments</w:t>
      </w:r>
    </w:p>
    <w:p w:rsidR="00A2372B" w:rsidRDefault="00A2372B" w:rsidP="00A2372B">
      <w:pPr>
        <w:pStyle w:val="NoSpacing"/>
        <w:rPr>
          <w:sz w:val="28"/>
          <w:szCs w:val="28"/>
        </w:rPr>
      </w:pPr>
    </w:p>
    <w:p w:rsidR="00A2372B" w:rsidRDefault="00A2372B" w:rsidP="00A2372B">
      <w:pPr>
        <w:pStyle w:val="NoSpacing"/>
        <w:rPr>
          <w:sz w:val="28"/>
          <w:szCs w:val="28"/>
        </w:rPr>
      </w:pPr>
    </w:p>
    <w:p w:rsidR="00A2372B" w:rsidRDefault="00A2372B" w:rsidP="00A2372B">
      <w:pPr>
        <w:pStyle w:val="NoSpacing"/>
        <w:rPr>
          <w:sz w:val="28"/>
          <w:szCs w:val="28"/>
        </w:rPr>
      </w:pPr>
      <w:r>
        <w:rPr>
          <w:sz w:val="28"/>
          <w:szCs w:val="28"/>
        </w:rPr>
        <w:t>1. Multiple Component Questions in Supervised Assessment Instruments</w:t>
      </w:r>
    </w:p>
    <w:p w:rsidR="00A2372B" w:rsidRDefault="00A2372B" w:rsidP="00A2372B">
      <w:pPr>
        <w:pStyle w:val="NoSpacing"/>
        <w:rPr>
          <w:sz w:val="28"/>
          <w:szCs w:val="28"/>
        </w:rPr>
      </w:pPr>
    </w:p>
    <w:p w:rsidR="00A2372B" w:rsidRDefault="00A2372B" w:rsidP="00A2372B">
      <w:pPr>
        <w:pStyle w:val="NoSpacing"/>
        <w:rPr>
          <w:sz w:val="28"/>
          <w:szCs w:val="28"/>
        </w:rPr>
      </w:pPr>
      <w:r>
        <w:rPr>
          <w:sz w:val="28"/>
          <w:szCs w:val="28"/>
        </w:rPr>
        <w:t>Many schools use exam formats for Supervised Assessments (SA). Multiple component questions are a ‘classical’ style of question comprising either clearly identified components ((a), (b), (c), etc.) of increasing challenge or extensive multistep calculations of increasing complexity.</w:t>
      </w:r>
    </w:p>
    <w:p w:rsidR="00A2372B" w:rsidRDefault="00A2372B" w:rsidP="00A2372B">
      <w:pPr>
        <w:pStyle w:val="NoSpacing"/>
        <w:rPr>
          <w:sz w:val="28"/>
          <w:szCs w:val="28"/>
        </w:rPr>
      </w:pPr>
    </w:p>
    <w:p w:rsidR="00A2372B" w:rsidRDefault="00A2372B" w:rsidP="00A2372B">
      <w:pPr>
        <w:pStyle w:val="NoSpacing"/>
        <w:rPr>
          <w:sz w:val="28"/>
          <w:szCs w:val="28"/>
        </w:rPr>
      </w:pPr>
      <w:r>
        <w:rPr>
          <w:sz w:val="28"/>
          <w:szCs w:val="28"/>
        </w:rPr>
        <w:t>If this approach is used in the design of an instrument then:</w:t>
      </w:r>
    </w:p>
    <w:p w:rsidR="00A2372B" w:rsidRPr="0065619E" w:rsidRDefault="00A2372B" w:rsidP="00A2372B">
      <w:pPr>
        <w:pStyle w:val="NoSpacing"/>
        <w:numPr>
          <w:ilvl w:val="0"/>
          <w:numId w:val="3"/>
        </w:numPr>
        <w:rPr>
          <w:sz w:val="28"/>
          <w:szCs w:val="28"/>
        </w:rPr>
      </w:pPr>
      <w:r>
        <w:rPr>
          <w:sz w:val="28"/>
          <w:szCs w:val="28"/>
        </w:rPr>
        <w:t>Each question should assess just one of the global objectives;</w:t>
      </w:r>
    </w:p>
    <w:p w:rsidR="00A2372B" w:rsidRDefault="00A2372B" w:rsidP="00A2372B">
      <w:pPr>
        <w:pStyle w:val="NoSpacing"/>
        <w:numPr>
          <w:ilvl w:val="0"/>
          <w:numId w:val="3"/>
        </w:numPr>
        <w:rPr>
          <w:sz w:val="28"/>
          <w:szCs w:val="28"/>
        </w:rPr>
      </w:pPr>
      <w:r>
        <w:rPr>
          <w:sz w:val="28"/>
          <w:szCs w:val="28"/>
        </w:rPr>
        <w:t>The mark for the same standard in each question should be the same;</w:t>
      </w:r>
    </w:p>
    <w:p w:rsidR="00A2372B" w:rsidRDefault="00A2372B" w:rsidP="00A2372B">
      <w:pPr>
        <w:pStyle w:val="NoSpacing"/>
        <w:numPr>
          <w:ilvl w:val="0"/>
          <w:numId w:val="3"/>
        </w:numPr>
        <w:rPr>
          <w:sz w:val="28"/>
          <w:szCs w:val="28"/>
        </w:rPr>
      </w:pPr>
      <w:r>
        <w:rPr>
          <w:sz w:val="28"/>
          <w:szCs w:val="28"/>
        </w:rPr>
        <w:t>Each component should by en large not ‘cue’ the student towards the correct response of the next component.</w:t>
      </w:r>
    </w:p>
    <w:p w:rsidR="00A2372B" w:rsidRDefault="00A2372B" w:rsidP="00A2372B">
      <w:pPr>
        <w:pStyle w:val="NoSpacing"/>
        <w:rPr>
          <w:sz w:val="28"/>
          <w:szCs w:val="28"/>
        </w:rPr>
      </w:pPr>
    </w:p>
    <w:p w:rsidR="00A2372B" w:rsidRDefault="00A2372B" w:rsidP="00A2372B">
      <w:pPr>
        <w:pStyle w:val="NoSpacing"/>
        <w:rPr>
          <w:sz w:val="28"/>
          <w:szCs w:val="28"/>
        </w:rPr>
      </w:pPr>
      <w:r>
        <w:rPr>
          <w:sz w:val="28"/>
          <w:szCs w:val="28"/>
        </w:rPr>
        <w:t xml:space="preserve">By following these guidelines a consistent approach is provided to mark allocation which allows the marks from different questions to be aggregated, converted to a final percentage and reflect the syllabus standards. There is sometimes a difficulty in determining which global objective an individual question applies to. In practice investigative and evaluating questions always require some content knowledge and this area remains a contentious issue in the Queensland syllabuses. The only practical solution is to identify which of the global objectives an item best applies to and allocate it accordingly. </w:t>
      </w:r>
    </w:p>
    <w:p w:rsidR="00A2372B" w:rsidRDefault="00A2372B" w:rsidP="00A2372B">
      <w:pPr>
        <w:pStyle w:val="NoSpacing"/>
        <w:rPr>
          <w:sz w:val="28"/>
          <w:szCs w:val="28"/>
        </w:rPr>
      </w:pPr>
    </w:p>
    <w:p w:rsidR="00A2372B" w:rsidRDefault="00A2372B" w:rsidP="00A2372B">
      <w:pPr>
        <w:pStyle w:val="NoSpacing"/>
        <w:rPr>
          <w:sz w:val="28"/>
          <w:szCs w:val="28"/>
        </w:rPr>
      </w:pPr>
      <w:r>
        <w:rPr>
          <w:sz w:val="28"/>
          <w:szCs w:val="28"/>
        </w:rPr>
        <w:t>A simple example for multiple component questions is to allocate 4 marks (40%) to the components covering the E-D bands, 2 marks to the components covering the C band (20%) and</w:t>
      </w:r>
      <w:r w:rsidRPr="001142E5">
        <w:rPr>
          <w:sz w:val="28"/>
          <w:szCs w:val="28"/>
        </w:rPr>
        <w:t xml:space="preserve"> </w:t>
      </w:r>
      <w:r>
        <w:rPr>
          <w:sz w:val="28"/>
          <w:szCs w:val="28"/>
        </w:rPr>
        <w:t>4 marks to the components covering the A and B bands (40%) for a total of 10 marks. A greater number of marks can be applied to lengthy questions with the proviso that no more than 40% be allocated to the ‘A/B’ standard components.</w:t>
      </w:r>
    </w:p>
    <w:p w:rsidR="00A2372B" w:rsidRDefault="00A2372B" w:rsidP="00A2372B">
      <w:pPr>
        <w:pStyle w:val="NoSpacing"/>
        <w:rPr>
          <w:sz w:val="28"/>
          <w:szCs w:val="28"/>
        </w:rPr>
      </w:pPr>
    </w:p>
    <w:p w:rsidR="00A2372B" w:rsidRDefault="00A2372B" w:rsidP="00A2372B">
      <w:pPr>
        <w:pStyle w:val="NoSpacing"/>
        <w:rPr>
          <w:sz w:val="28"/>
          <w:szCs w:val="28"/>
        </w:rPr>
      </w:pPr>
      <w:r>
        <w:rPr>
          <w:sz w:val="28"/>
          <w:szCs w:val="28"/>
        </w:rPr>
        <w:t xml:space="preserve">With this approach the marks for each component can be aggregated with the results showing alignment to the percentage cut-offs. This also resolves the issue where a student performs well on the ‘A’ components but poorly on the easier ‘C’ and ‘D’ components. In this situation the student might not obtain an ‘A’ but a ‘B’. While some might argue that the student shows ‘A’ grade responses and should be awarded an ‘A’ the </w:t>
      </w:r>
      <w:proofErr w:type="spellStart"/>
      <w:r>
        <w:rPr>
          <w:sz w:val="28"/>
          <w:szCs w:val="28"/>
        </w:rPr>
        <w:t>Menkens</w:t>
      </w:r>
      <w:proofErr w:type="spellEnd"/>
      <w:r>
        <w:rPr>
          <w:sz w:val="28"/>
          <w:szCs w:val="28"/>
        </w:rPr>
        <w:t xml:space="preserve"> Inquiry highlighted the need for students to be competent at basic knowledge and skills. As a result a </w:t>
      </w:r>
      <w:r w:rsidRPr="00D0513D">
        <w:rPr>
          <w:sz w:val="28"/>
          <w:szCs w:val="28"/>
          <w:u w:val="single"/>
        </w:rPr>
        <w:t>clear direction has been given</w:t>
      </w:r>
      <w:r>
        <w:rPr>
          <w:sz w:val="28"/>
          <w:szCs w:val="28"/>
        </w:rPr>
        <w:t xml:space="preserve"> that ‘A’ grade students must be competent at BOTH ‘higher order’ skills AND recall of knowledge/application of basic skills. A student that consistently achieves well in higher order questions but poorly in basic knowledge can no longer be considered to be of ‘A’ standard in this state.</w:t>
      </w:r>
    </w:p>
    <w:p w:rsidR="00A2372B" w:rsidRDefault="00A2372B" w:rsidP="00A2372B">
      <w:pPr>
        <w:widowControl/>
        <w:spacing w:before="0" w:after="200" w:line="276" w:lineRule="auto"/>
        <w:rPr>
          <w:rFonts w:asciiTheme="minorHAnsi" w:eastAsiaTheme="minorHAnsi" w:hAnsiTheme="minorHAnsi" w:cstheme="minorBidi"/>
          <w:sz w:val="28"/>
          <w:szCs w:val="28"/>
        </w:rPr>
      </w:pPr>
      <w:r>
        <w:rPr>
          <w:sz w:val="28"/>
          <w:szCs w:val="28"/>
        </w:rPr>
        <w:br w:type="page"/>
      </w:r>
    </w:p>
    <w:p w:rsidR="00A2372B" w:rsidRDefault="00A2372B" w:rsidP="00A2372B">
      <w:pPr>
        <w:pStyle w:val="NoSpacing"/>
        <w:rPr>
          <w:sz w:val="28"/>
          <w:szCs w:val="28"/>
        </w:rPr>
      </w:pPr>
      <w:r>
        <w:rPr>
          <w:sz w:val="28"/>
          <w:szCs w:val="28"/>
        </w:rPr>
        <w:lastRenderedPageBreak/>
        <w:t xml:space="preserve">Figure 3. Exemplar of the Use of Marks in a Multiple Component Question (IP) </w:t>
      </w:r>
    </w:p>
    <w:p w:rsidR="00A2372B" w:rsidRDefault="00A2372B" w:rsidP="00A2372B">
      <w:pPr>
        <w:pStyle w:val="NoSpacing"/>
        <w:rPr>
          <w:sz w:val="28"/>
          <w:szCs w:val="28"/>
        </w:rPr>
      </w:pPr>
    </w:p>
    <w:p w:rsidR="00A2372B" w:rsidRDefault="00A2372B" w:rsidP="00A2372B">
      <w:pPr>
        <w:pStyle w:val="NoSpacing"/>
        <w:jc w:val="center"/>
        <w:rPr>
          <w:sz w:val="28"/>
          <w:szCs w:val="28"/>
        </w:rPr>
      </w:pPr>
      <w:r>
        <w:rPr>
          <w:noProof/>
          <w:sz w:val="28"/>
          <w:szCs w:val="28"/>
          <w:lang w:val="en-US"/>
        </w:rPr>
        <w:drawing>
          <wp:inline distT="0" distB="0" distL="0" distR="0">
            <wp:extent cx="5918200" cy="44069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8200" cy="4406900"/>
                    </a:xfrm>
                    <a:prstGeom prst="rect">
                      <a:avLst/>
                    </a:prstGeom>
                    <a:noFill/>
                    <a:ln>
                      <a:noFill/>
                    </a:ln>
                  </pic:spPr>
                </pic:pic>
              </a:graphicData>
            </a:graphic>
          </wp:inline>
        </w:drawing>
      </w:r>
    </w:p>
    <w:p w:rsidR="00A2372B" w:rsidRDefault="00A2372B" w:rsidP="00A2372B">
      <w:pPr>
        <w:pStyle w:val="NoSpacing"/>
        <w:jc w:val="center"/>
        <w:rPr>
          <w:noProof/>
          <w:sz w:val="28"/>
          <w:szCs w:val="28"/>
          <w:lang w:eastAsia="en-AU"/>
        </w:rPr>
      </w:pPr>
    </w:p>
    <w:p w:rsidR="00A2372B" w:rsidRDefault="00A2372B" w:rsidP="00A2372B">
      <w:pPr>
        <w:pStyle w:val="NoSpacing"/>
        <w:jc w:val="center"/>
        <w:rPr>
          <w:sz w:val="28"/>
          <w:szCs w:val="28"/>
        </w:rPr>
      </w:pPr>
      <w:r>
        <w:rPr>
          <w:noProof/>
          <w:sz w:val="28"/>
          <w:szCs w:val="28"/>
          <w:lang w:val="en-US"/>
        </w:rPr>
        <w:drawing>
          <wp:inline distT="0" distB="0" distL="0" distR="0">
            <wp:extent cx="4254139" cy="4495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139" cy="4495800"/>
                    </a:xfrm>
                    <a:prstGeom prst="rect">
                      <a:avLst/>
                    </a:prstGeom>
                    <a:noFill/>
                    <a:ln>
                      <a:noFill/>
                    </a:ln>
                  </pic:spPr>
                </pic:pic>
              </a:graphicData>
            </a:graphic>
          </wp:inline>
        </w:drawing>
      </w:r>
    </w:p>
    <w:p w:rsidR="00A2372B" w:rsidRDefault="00A2372B" w:rsidP="00A2372B">
      <w:pPr>
        <w:pStyle w:val="NoSpacing"/>
        <w:rPr>
          <w:sz w:val="28"/>
          <w:szCs w:val="28"/>
        </w:rPr>
      </w:pPr>
      <w:r>
        <w:rPr>
          <w:sz w:val="28"/>
          <w:szCs w:val="28"/>
        </w:rPr>
        <w:lastRenderedPageBreak/>
        <w:t>2.  Extended Answer Questions without Explicit Multiple Components</w:t>
      </w:r>
    </w:p>
    <w:p w:rsidR="00A2372B" w:rsidRDefault="00A2372B" w:rsidP="00A2372B">
      <w:pPr>
        <w:pStyle w:val="NoSpacing"/>
        <w:rPr>
          <w:sz w:val="28"/>
          <w:szCs w:val="28"/>
        </w:rPr>
      </w:pPr>
    </w:p>
    <w:p w:rsidR="00A2372B" w:rsidRDefault="00A2372B" w:rsidP="00A2372B">
      <w:pPr>
        <w:pStyle w:val="NoSpacing"/>
        <w:rPr>
          <w:sz w:val="28"/>
          <w:szCs w:val="28"/>
        </w:rPr>
      </w:pPr>
      <w:r>
        <w:rPr>
          <w:sz w:val="28"/>
          <w:szCs w:val="28"/>
        </w:rPr>
        <w:t>This is another common style of Supervised Assessment question which does not contain explicitly identified component for students to complete but analysis of the stimulus and synthesis of a procedure to complete the task. Allocation of marks can often be achieved by identifying elements of the expected response. Initial marks should be allocated to the elements involving lower cognitive demand reflecting the ‘D’/‘E’ criteria, followed by the allocation of marks to the elements reflecting fundamental knowledge/investigative, evaluating skills in ‘C’ criteria and finally the allocation of marks to the higher order skills in the ‘A’/‘B’ criteria requiring assembling, integration and synthesis of information.</w:t>
      </w:r>
    </w:p>
    <w:p w:rsidR="00A2372B" w:rsidRDefault="00A2372B" w:rsidP="00A2372B">
      <w:pPr>
        <w:pStyle w:val="NoSpacing"/>
        <w:rPr>
          <w:sz w:val="28"/>
          <w:szCs w:val="28"/>
        </w:rPr>
      </w:pPr>
    </w:p>
    <w:p w:rsidR="00A2372B" w:rsidRDefault="00A2372B" w:rsidP="00A2372B">
      <w:pPr>
        <w:pStyle w:val="NoSpacing"/>
        <w:rPr>
          <w:sz w:val="28"/>
          <w:szCs w:val="28"/>
        </w:rPr>
      </w:pPr>
      <w:r>
        <w:rPr>
          <w:sz w:val="28"/>
          <w:szCs w:val="28"/>
        </w:rPr>
        <w:t>Marks should be allocated in a similar fashion as in explicit multiple component questions with no more than 40% of the total marks aligned to the ‘A’/‘B’ criteria. An example is shown in Figure 4:</w:t>
      </w:r>
    </w:p>
    <w:p w:rsidR="00A2372B" w:rsidRDefault="00A2372B" w:rsidP="00A2372B">
      <w:pPr>
        <w:pStyle w:val="NoSpacing"/>
        <w:rPr>
          <w:sz w:val="28"/>
          <w:szCs w:val="28"/>
        </w:rPr>
      </w:pPr>
    </w:p>
    <w:p w:rsidR="00A2372B" w:rsidRDefault="00A2372B" w:rsidP="00A2372B">
      <w:pPr>
        <w:pStyle w:val="NoSpacing"/>
        <w:rPr>
          <w:sz w:val="28"/>
          <w:szCs w:val="28"/>
        </w:rPr>
      </w:pPr>
    </w:p>
    <w:p w:rsidR="00A2372B" w:rsidRDefault="00A2372B" w:rsidP="00A2372B">
      <w:pPr>
        <w:pStyle w:val="NoSpacing"/>
        <w:rPr>
          <w:sz w:val="28"/>
          <w:szCs w:val="28"/>
        </w:rPr>
      </w:pPr>
      <w:r>
        <w:rPr>
          <w:sz w:val="28"/>
          <w:szCs w:val="28"/>
        </w:rPr>
        <w:t xml:space="preserve">Figure 4. Exemplar of the Use of Marks in a Non-Multiple Component SA Question </w:t>
      </w:r>
    </w:p>
    <w:p w:rsidR="00A2372B" w:rsidRDefault="00A2372B" w:rsidP="00A2372B">
      <w:pPr>
        <w:pStyle w:val="NoSpacing"/>
        <w:rPr>
          <w:sz w:val="28"/>
          <w:szCs w:val="28"/>
        </w:rPr>
      </w:pPr>
    </w:p>
    <w:p w:rsidR="00A2372B" w:rsidRDefault="00A2372B" w:rsidP="00A2372B">
      <w:pPr>
        <w:widowControl/>
        <w:spacing w:before="0" w:after="200" w:line="276" w:lineRule="auto"/>
        <w:rPr>
          <w:sz w:val="28"/>
          <w:szCs w:val="28"/>
        </w:rPr>
      </w:pPr>
      <w:r>
        <w:rPr>
          <w:noProof/>
          <w:lang w:val="en-US"/>
        </w:rPr>
        <w:drawing>
          <wp:inline distT="0" distB="0" distL="0" distR="0">
            <wp:extent cx="5731510" cy="5078755"/>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731510" cy="5078755"/>
                    </a:xfrm>
                    <a:prstGeom prst="rect">
                      <a:avLst/>
                    </a:prstGeom>
                  </pic:spPr>
                </pic:pic>
              </a:graphicData>
            </a:graphic>
          </wp:inline>
        </w:drawing>
      </w:r>
    </w:p>
    <w:p w:rsidR="00A2372B" w:rsidRDefault="00A2372B" w:rsidP="00A2372B">
      <w:pPr>
        <w:widowControl/>
        <w:spacing w:before="0" w:after="200" w:line="276" w:lineRule="auto"/>
        <w:rPr>
          <w:sz w:val="28"/>
          <w:szCs w:val="28"/>
        </w:rPr>
      </w:pPr>
    </w:p>
    <w:p w:rsidR="00A2372B" w:rsidRDefault="00A2372B" w:rsidP="00A2372B">
      <w:pPr>
        <w:widowControl/>
        <w:spacing w:before="0" w:after="200" w:line="276" w:lineRule="auto"/>
        <w:rPr>
          <w:sz w:val="28"/>
          <w:szCs w:val="28"/>
        </w:rPr>
      </w:pPr>
      <w:r>
        <w:rPr>
          <w:noProof/>
          <w:sz w:val="28"/>
          <w:szCs w:val="28"/>
          <w:lang w:val="en-US"/>
        </w:rPr>
        <w:lastRenderedPageBreak/>
        <w:drawing>
          <wp:inline distT="0" distB="0" distL="0" distR="0">
            <wp:extent cx="5745480" cy="9690100"/>
            <wp:effectExtent l="0" t="0" r="762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5480" cy="9690100"/>
                    </a:xfrm>
                    <a:prstGeom prst="rect">
                      <a:avLst/>
                    </a:prstGeom>
                    <a:noFill/>
                    <a:ln>
                      <a:noFill/>
                    </a:ln>
                  </pic:spPr>
                </pic:pic>
              </a:graphicData>
            </a:graphic>
          </wp:inline>
        </w:drawing>
      </w:r>
    </w:p>
    <w:p w:rsidR="00A2372B" w:rsidRDefault="00A2372B" w:rsidP="00A2372B">
      <w:pPr>
        <w:pStyle w:val="NoSpacing"/>
        <w:rPr>
          <w:sz w:val="28"/>
          <w:szCs w:val="28"/>
        </w:rPr>
      </w:pPr>
      <w:r>
        <w:rPr>
          <w:sz w:val="28"/>
          <w:szCs w:val="28"/>
        </w:rPr>
        <w:lastRenderedPageBreak/>
        <w:t>3.  Holistic Marking (Extended Response SA Tasks, EEIs and ERTs)</w:t>
      </w:r>
    </w:p>
    <w:p w:rsidR="00A2372B" w:rsidRDefault="00A2372B" w:rsidP="00A2372B">
      <w:pPr>
        <w:pStyle w:val="NoSpacing"/>
        <w:rPr>
          <w:sz w:val="28"/>
          <w:szCs w:val="28"/>
        </w:rPr>
      </w:pPr>
    </w:p>
    <w:p w:rsidR="00A2372B" w:rsidRDefault="00A2372B" w:rsidP="00A2372B">
      <w:pPr>
        <w:pStyle w:val="NoSpacing"/>
        <w:rPr>
          <w:sz w:val="28"/>
          <w:szCs w:val="28"/>
        </w:rPr>
      </w:pPr>
      <w:r>
        <w:rPr>
          <w:sz w:val="28"/>
          <w:szCs w:val="28"/>
        </w:rPr>
        <w:t xml:space="preserve">While many schools use traditional exam formats for Supervised Assessments in some instances other formats are used such as analytical essays responding to a stimulus. In these tasks allocation of marks to specific elements of student responses while still accurately reflecting the criteria may be more problematic as evidence for the attainment of a standard may be spread throughout the response and students may respond to the stimulus in unanticipated ways. Extended Experimental Investigations (EEIs) and Extended Response Tasks (ERTs) pose similar problems to those in Extended Response SA tasks. </w:t>
      </w:r>
    </w:p>
    <w:p w:rsidR="00A2372B" w:rsidRDefault="00A2372B" w:rsidP="00A2372B">
      <w:pPr>
        <w:pStyle w:val="NoSpacing"/>
        <w:rPr>
          <w:sz w:val="28"/>
          <w:szCs w:val="28"/>
        </w:rPr>
      </w:pPr>
    </w:p>
    <w:p w:rsidR="00A2372B" w:rsidRDefault="00A2372B" w:rsidP="00A2372B">
      <w:pPr>
        <w:pStyle w:val="NoSpacing"/>
        <w:rPr>
          <w:sz w:val="28"/>
          <w:szCs w:val="28"/>
        </w:rPr>
      </w:pPr>
      <w:r>
        <w:rPr>
          <w:sz w:val="28"/>
          <w:szCs w:val="28"/>
        </w:rPr>
        <w:t>In some other states marks are allocated to specific sections of EEI reports and ERTs, the marks gained from each section being aggregated to create a final overall mark. This is possible as lengthy, single criteria describe the five A to E standards in those states. In the Queensland syllabuses the criteria are spread over three general objectives (e.g., KCU, IP and EC) each of which is further divided into three sub-objectives (e.g., recall and interpret, describe and explain, link and apply in KCU). As evidence for each of the sub-objectives may be found in different sections of a student’s work allocating marks to specific sections and aligning them with the criteria can be difficult.</w:t>
      </w:r>
    </w:p>
    <w:p w:rsidR="00A2372B" w:rsidRDefault="00A2372B" w:rsidP="00A2372B">
      <w:pPr>
        <w:pStyle w:val="NoSpacing"/>
        <w:rPr>
          <w:sz w:val="28"/>
          <w:szCs w:val="28"/>
        </w:rPr>
      </w:pPr>
    </w:p>
    <w:p w:rsidR="00A2372B" w:rsidRDefault="00A2372B" w:rsidP="00A2372B">
      <w:pPr>
        <w:pStyle w:val="NoSpacing"/>
        <w:rPr>
          <w:sz w:val="28"/>
          <w:szCs w:val="28"/>
        </w:rPr>
      </w:pPr>
      <w:r>
        <w:rPr>
          <w:sz w:val="28"/>
          <w:szCs w:val="28"/>
        </w:rPr>
        <w:t xml:space="preserve">Queensland science teachers utilise a holistic approach when marking assessment that involves lengthy student responses having to use professional judgement to grade tasks standards in the five bands, A to E, divided into one third sub-bands to give a 15 point scale. The restriction of teachers to this 15 point scale was raised in many submissions as a point of contention to the parliamentary inquiry. Teachers suggested that they were capable of finer grained judgements and highlighted this limitation as introducing an unacceptably large source of error when determining LOAs and rung placements. </w:t>
      </w:r>
    </w:p>
    <w:p w:rsidR="00A2372B" w:rsidRDefault="00A2372B" w:rsidP="00A2372B">
      <w:pPr>
        <w:pStyle w:val="NoSpacing"/>
        <w:rPr>
          <w:sz w:val="28"/>
          <w:szCs w:val="28"/>
        </w:rPr>
      </w:pPr>
    </w:p>
    <w:p w:rsidR="00A2372B" w:rsidRDefault="00A2372B" w:rsidP="00A2372B">
      <w:pPr>
        <w:pStyle w:val="NoSpacing"/>
        <w:rPr>
          <w:sz w:val="28"/>
          <w:szCs w:val="28"/>
        </w:rPr>
      </w:pPr>
      <w:r>
        <w:rPr>
          <w:sz w:val="28"/>
          <w:szCs w:val="28"/>
        </w:rPr>
        <w:t>The restriction to the 15 point scale in Queensland can be traced back to the study of Masters and McBride in 1994 (</w:t>
      </w:r>
      <w:r>
        <w:rPr>
          <w:i/>
          <w:sz w:val="28"/>
          <w:szCs w:val="28"/>
        </w:rPr>
        <w:t>An Investigation of the Comparability of Teachers’ Assessment of Student Folios</w:t>
      </w:r>
      <w:r>
        <w:rPr>
          <w:sz w:val="28"/>
          <w:szCs w:val="28"/>
        </w:rPr>
        <w:t xml:space="preserve">). They reported high inter-marker reliability when reviewing student folios using a 50 point scale to within +/- 2 rungs. This reflected an expected range of 4 rungs for professional judgement in most cases – hence the adoption of an accuracy of one third of a band accuracy in the Queensland syllabuses. The same study reported that a significant proportion of Mathematics and Chemistry teachers differed in their judgement by as little as +/- 1 rung. Masters and McBride also highlighted the issue that a reduced number of levels into which student work can be placed increases the impact of negative outcomes on student results where errors in placement occur.  </w:t>
      </w:r>
    </w:p>
    <w:p w:rsidR="00A2372B" w:rsidRDefault="00A2372B" w:rsidP="00A2372B">
      <w:pPr>
        <w:pStyle w:val="NoSpacing"/>
        <w:rPr>
          <w:sz w:val="28"/>
          <w:szCs w:val="28"/>
        </w:rPr>
      </w:pPr>
    </w:p>
    <w:p w:rsidR="00A2372B" w:rsidRDefault="00A2372B" w:rsidP="00A2372B">
      <w:pPr>
        <w:pStyle w:val="NoSpacing"/>
        <w:rPr>
          <w:sz w:val="28"/>
          <w:szCs w:val="28"/>
        </w:rPr>
      </w:pPr>
    </w:p>
    <w:p w:rsidR="00A2372B" w:rsidRDefault="00A2372B" w:rsidP="00A2372B">
      <w:pPr>
        <w:pStyle w:val="NoSpacing"/>
        <w:rPr>
          <w:sz w:val="28"/>
          <w:szCs w:val="28"/>
        </w:rPr>
      </w:pPr>
      <w:r>
        <w:rPr>
          <w:sz w:val="28"/>
          <w:szCs w:val="28"/>
        </w:rPr>
        <w:lastRenderedPageBreak/>
        <w:t>In other states extended response assessment in a range of subject disciplines are routinely marked out of 25 or 50. A good case can be made to do so here, as either number can be easily converted into a percentage and shows a greater level of discrimination than the current 15 point scale. In Victoria when teachers mark work holistically the rationale used is to</w:t>
      </w:r>
      <w:r w:rsidRPr="003558AB">
        <w:rPr>
          <w:sz w:val="28"/>
          <w:szCs w:val="28"/>
        </w:rPr>
        <w:t xml:space="preserve"> first decide if a student’s task is of an A to E standard, decide if it is in the high, middle or low range, decide if it is high middle or low within that range and then allocate a score.</w:t>
      </w:r>
    </w:p>
    <w:p w:rsidR="00A2372B" w:rsidRDefault="00A2372B" w:rsidP="00A2372B">
      <w:pPr>
        <w:pStyle w:val="NoSpacing"/>
        <w:rPr>
          <w:sz w:val="28"/>
          <w:szCs w:val="28"/>
        </w:rPr>
      </w:pPr>
    </w:p>
    <w:p w:rsidR="00A2372B" w:rsidRDefault="00A2372B" w:rsidP="00A2372B">
      <w:pPr>
        <w:pStyle w:val="NoSpacing"/>
        <w:rPr>
          <w:sz w:val="28"/>
          <w:szCs w:val="28"/>
        </w:rPr>
      </w:pPr>
      <w:r>
        <w:rPr>
          <w:sz w:val="28"/>
          <w:szCs w:val="28"/>
        </w:rPr>
        <w:t>The simplest means to allocate marks in one of these tasks is to introduce them into the criteria sheet as shown in Figure 5. The choice of using a maximum of 25 or 50 marks can be left to discretion of the school but the same maximum mark needs to be applied to each component in the matrix. The marks for the components of each of the three general objectives can then be aggregated. In order to reflect the syllabus requirement of equivalence of the global objects a percentage must be calculated for each of the objectives which from the percentage cut-offs can be used to identify the standard.</w:t>
      </w:r>
    </w:p>
    <w:p w:rsidR="00A2372B" w:rsidRDefault="00A2372B" w:rsidP="00A2372B">
      <w:pPr>
        <w:pStyle w:val="NoSpacing"/>
        <w:rPr>
          <w:sz w:val="28"/>
          <w:szCs w:val="28"/>
        </w:rPr>
      </w:pPr>
    </w:p>
    <w:p w:rsidR="00A2372B" w:rsidRDefault="00A2372B" w:rsidP="00A2372B">
      <w:pPr>
        <w:pStyle w:val="NoSpacing"/>
        <w:rPr>
          <w:sz w:val="28"/>
          <w:szCs w:val="28"/>
        </w:rPr>
      </w:pPr>
    </w:p>
    <w:p w:rsidR="00A2372B" w:rsidRDefault="00A2372B" w:rsidP="00A2372B">
      <w:pPr>
        <w:pStyle w:val="NoSpacing"/>
        <w:rPr>
          <w:sz w:val="28"/>
          <w:szCs w:val="28"/>
        </w:rPr>
      </w:pPr>
      <w:r>
        <w:rPr>
          <w:sz w:val="28"/>
          <w:szCs w:val="28"/>
        </w:rPr>
        <w:t xml:space="preserve">Figure 5. Exemplar of the Use of Marks in a Criteria Sheet for an EEI </w:t>
      </w:r>
    </w:p>
    <w:p w:rsidR="00A2372B" w:rsidRDefault="00A2372B" w:rsidP="00A2372B">
      <w:pPr>
        <w:pStyle w:val="NoSpacing"/>
        <w:rPr>
          <w:sz w:val="28"/>
          <w:szCs w:val="28"/>
        </w:rPr>
      </w:pPr>
    </w:p>
    <w:p w:rsidR="00A2372B" w:rsidRDefault="00A2372B" w:rsidP="00A2372B">
      <w:pPr>
        <w:pStyle w:val="NoSpacing"/>
        <w:jc w:val="center"/>
        <w:rPr>
          <w:sz w:val="28"/>
          <w:szCs w:val="28"/>
        </w:rPr>
      </w:pPr>
      <w:r>
        <w:rPr>
          <w:noProof/>
          <w:sz w:val="28"/>
          <w:szCs w:val="28"/>
          <w:lang w:val="en-US"/>
        </w:rPr>
        <w:drawing>
          <wp:inline distT="0" distB="0" distL="0" distR="0">
            <wp:extent cx="6400369" cy="5233917"/>
            <wp:effectExtent l="0" t="0" r="63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359" cy="5233909"/>
                    </a:xfrm>
                    <a:prstGeom prst="rect">
                      <a:avLst/>
                    </a:prstGeom>
                    <a:noFill/>
                    <a:ln>
                      <a:noFill/>
                    </a:ln>
                  </pic:spPr>
                </pic:pic>
              </a:graphicData>
            </a:graphic>
          </wp:inline>
        </w:drawing>
      </w:r>
    </w:p>
    <w:p w:rsidR="001B1F2C" w:rsidRDefault="006220C7"/>
    <w:sectPr w:rsidR="001B1F2C" w:rsidSect="00F55DAA">
      <w:pgSz w:w="11906" w:h="16838"/>
      <w:pgMar w:top="709" w:right="1133"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11B00"/>
    <w:multiLevelType w:val="hybridMultilevel"/>
    <w:tmpl w:val="056ECAAA"/>
    <w:lvl w:ilvl="0" w:tplc="C38684DA">
      <w:start w:val="1"/>
      <w:numFmt w:val="bullet"/>
      <w:pStyle w:val="Tablebullets"/>
      <w:lvlText w:val=""/>
      <w:lvlJc w:val="left"/>
      <w:pPr>
        <w:tabs>
          <w:tab w:val="num" w:pos="142"/>
        </w:tabs>
        <w:ind w:left="142" w:hanging="142"/>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569E3967"/>
    <w:multiLevelType w:val="hybridMultilevel"/>
    <w:tmpl w:val="CC882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0418D0"/>
    <w:multiLevelType w:val="singleLevel"/>
    <w:tmpl w:val="1B444F50"/>
    <w:lvl w:ilvl="0">
      <w:start w:val="1"/>
      <w:numFmt w:val="bullet"/>
      <w:pStyle w:val="StyleTablebullets8pt"/>
      <w:lvlText w:val=""/>
      <w:lvlJc w:val="left"/>
      <w:pPr>
        <w:tabs>
          <w:tab w:val="num" w:pos="142"/>
        </w:tabs>
        <w:ind w:left="142" w:hanging="142"/>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2B"/>
    <w:rsid w:val="006220C7"/>
    <w:rsid w:val="009F3A98"/>
    <w:rsid w:val="00A2372B"/>
    <w:rsid w:val="00A81175"/>
    <w:rsid w:val="00F972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CB383-2E8F-4315-B8FA-228ECC41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72B"/>
    <w:pPr>
      <w:widowControl w:val="0"/>
      <w:spacing w:before="120"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372B"/>
    <w:pPr>
      <w:spacing w:after="0" w:line="240" w:lineRule="auto"/>
    </w:pPr>
  </w:style>
  <w:style w:type="paragraph" w:customStyle="1" w:styleId="Tableheading">
    <w:name w:val="Table heading"/>
    <w:basedOn w:val="Normal"/>
    <w:rsid w:val="00A2372B"/>
    <w:pPr>
      <w:spacing w:before="180" w:after="80"/>
    </w:pPr>
    <w:rPr>
      <w:rFonts w:ascii="Arial" w:hAnsi="Arial"/>
      <w:b/>
      <w:sz w:val="20"/>
    </w:rPr>
  </w:style>
  <w:style w:type="paragraph" w:customStyle="1" w:styleId="Tablebullets">
    <w:name w:val="Table bullets"/>
    <w:basedOn w:val="Normal"/>
    <w:link w:val="TablebulletsCharChar"/>
    <w:rsid w:val="00A2372B"/>
    <w:pPr>
      <w:widowControl/>
      <w:numPr>
        <w:numId w:val="2"/>
      </w:numPr>
      <w:spacing w:before="0" w:after="20"/>
    </w:pPr>
    <w:rPr>
      <w:rFonts w:ascii="Arial" w:hAnsi="Arial" w:cs="Arial"/>
      <w:sz w:val="18"/>
      <w:lang w:val="en-US"/>
    </w:rPr>
  </w:style>
  <w:style w:type="paragraph" w:customStyle="1" w:styleId="StyleTablebullets8pt">
    <w:name w:val="Style Table bullets + 8 pt"/>
    <w:basedOn w:val="Tablebullets"/>
    <w:rsid w:val="00A2372B"/>
    <w:pPr>
      <w:numPr>
        <w:numId w:val="1"/>
      </w:numPr>
    </w:pPr>
    <w:rPr>
      <w:sz w:val="16"/>
    </w:rPr>
  </w:style>
  <w:style w:type="character" w:customStyle="1" w:styleId="TablebulletsCharChar">
    <w:name w:val="Table bullets Char Char"/>
    <w:basedOn w:val="DefaultParagraphFont"/>
    <w:link w:val="Tablebullets"/>
    <w:rsid w:val="00A2372B"/>
    <w:rPr>
      <w:rFonts w:ascii="Arial" w:eastAsia="Times New Roman" w:hAnsi="Arial" w:cs="Arial"/>
      <w:sz w:val="18"/>
      <w:szCs w:val="20"/>
      <w:lang w:val="en-US"/>
    </w:rPr>
  </w:style>
  <w:style w:type="character" w:styleId="Hyperlink">
    <w:name w:val="Hyperlink"/>
    <w:basedOn w:val="DefaultParagraphFont"/>
    <w:uiPriority w:val="99"/>
    <w:unhideWhenUsed/>
    <w:rsid w:val="00A2372B"/>
    <w:rPr>
      <w:color w:val="0000FF" w:themeColor="hyperlink"/>
      <w:u w:val="single"/>
    </w:rPr>
  </w:style>
  <w:style w:type="paragraph" w:styleId="BalloonText">
    <w:name w:val="Balloon Text"/>
    <w:basedOn w:val="Normal"/>
    <w:link w:val="BalloonTextChar"/>
    <w:uiPriority w:val="99"/>
    <w:semiHidden/>
    <w:unhideWhenUsed/>
    <w:rsid w:val="00A2372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7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parliament.qld.gov.au/documents/committees/EIC/2013/QldAssessment/rpt-025-14Oct2013.pdf"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15188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phpvr</dc:creator>
  <cp:keywords/>
  <dc:description/>
  <cp:lastModifiedBy>Melissa</cp:lastModifiedBy>
  <cp:revision>2</cp:revision>
  <dcterms:created xsi:type="dcterms:W3CDTF">2014-01-19T23:25:00Z</dcterms:created>
  <dcterms:modified xsi:type="dcterms:W3CDTF">2014-01-19T23:25:00Z</dcterms:modified>
</cp:coreProperties>
</file>