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10" w:type="dxa"/>
        <w:tblLook w:val="04A0" w:firstRow="1" w:lastRow="0" w:firstColumn="1" w:lastColumn="0" w:noHBand="0" w:noVBand="1"/>
      </w:tblPr>
      <w:tblGrid>
        <w:gridCol w:w="1135"/>
        <w:gridCol w:w="845"/>
        <w:gridCol w:w="2865"/>
        <w:gridCol w:w="1700"/>
        <w:gridCol w:w="1490"/>
        <w:gridCol w:w="1475"/>
      </w:tblGrid>
      <w:tr w:rsidR="006F4F1F" w:rsidRPr="006F4F1F" w:rsidTr="007875C6">
        <w:trPr>
          <w:trHeight w:val="287"/>
        </w:trPr>
        <w:tc>
          <w:tcPr>
            <w:tcW w:w="9510" w:type="dxa"/>
            <w:gridSpan w:val="6"/>
          </w:tcPr>
          <w:p w:rsidR="006F4F1F" w:rsidRPr="006F4F1F" w:rsidRDefault="000D2E5F" w:rsidP="00C5317D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br w:type="page"/>
            </w:r>
            <w:r w:rsidR="006F4F1F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6F4F1F" w:rsidRPr="006F4F1F">
              <w:rPr>
                <w:b/>
                <w:sz w:val="24"/>
                <w:szCs w:val="24"/>
              </w:rPr>
              <w:t xml:space="preserve">Name: </w:t>
            </w:r>
            <w:r w:rsidR="006F4F1F" w:rsidRPr="006F4F1F">
              <w:rPr>
                <w:sz w:val="24"/>
                <w:szCs w:val="24"/>
              </w:rPr>
              <w:t>Billy Blogs</w:t>
            </w:r>
          </w:p>
        </w:tc>
      </w:tr>
      <w:tr w:rsidR="006F4F1F" w:rsidRPr="006F4F1F" w:rsidTr="007875C6">
        <w:trPr>
          <w:trHeight w:val="287"/>
        </w:trPr>
        <w:tc>
          <w:tcPr>
            <w:tcW w:w="9510" w:type="dxa"/>
            <w:gridSpan w:val="6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Black Stump Catholic Independent Girls State High School.</w:t>
            </w:r>
          </w:p>
        </w:tc>
      </w:tr>
      <w:tr w:rsidR="006F4F1F" w:rsidRPr="006F4F1F" w:rsidTr="007875C6">
        <w:trPr>
          <w:trHeight w:val="303"/>
        </w:trPr>
        <w:tc>
          <w:tcPr>
            <w:tcW w:w="9510" w:type="dxa"/>
            <w:gridSpan w:val="6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Physics:</w:t>
            </w:r>
          </w:p>
        </w:tc>
      </w:tr>
      <w:tr w:rsidR="006F4F1F" w:rsidRPr="006F4F1F" w:rsidTr="007875C6">
        <w:trPr>
          <w:trHeight w:val="910"/>
        </w:trPr>
        <w:tc>
          <w:tcPr>
            <w:tcW w:w="113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Semester</w:t>
            </w:r>
          </w:p>
        </w:tc>
        <w:tc>
          <w:tcPr>
            <w:tcW w:w="3710" w:type="dxa"/>
            <w:gridSpan w:val="2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Assessment Task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Knowledge, Conceptual Understanding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Investigative Processes</w:t>
            </w:r>
          </w:p>
        </w:tc>
        <w:tc>
          <w:tcPr>
            <w:tcW w:w="1475" w:type="dxa"/>
          </w:tcPr>
          <w:p w:rsid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 xml:space="preserve">Evaluating </w:t>
            </w:r>
          </w:p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and Concluding</w:t>
            </w:r>
          </w:p>
        </w:tc>
      </w:tr>
      <w:tr w:rsidR="006F4F1F" w:rsidRPr="006F4F1F" w:rsidTr="007875C6">
        <w:trPr>
          <w:trHeight w:val="287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F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Extended response task (ERT)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C+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C+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F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exam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D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F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exam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D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</w:t>
            </w:r>
          </w:p>
        </w:tc>
      </w:tr>
      <w:tr w:rsidR="006F4F1F" w:rsidRPr="006F4F1F" w:rsidTr="007875C6">
        <w:trPr>
          <w:trHeight w:val="607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F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Extended experimental investigation</w:t>
            </w:r>
            <w:r w:rsidR="00414BFF">
              <w:rPr>
                <w:sz w:val="24"/>
                <w:szCs w:val="24"/>
              </w:rPr>
              <w:t xml:space="preserve"> (EEI)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C+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C+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C+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F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exam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D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2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F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exam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A-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Monitoring (does not count)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B</w:t>
            </w:r>
          </w:p>
        </w:tc>
      </w:tr>
      <w:tr w:rsidR="006F4F1F" w:rsidRPr="006F4F1F" w:rsidTr="007875C6">
        <w:trPr>
          <w:trHeight w:val="287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S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Extended response task (ERT)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A-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</w:t>
            </w:r>
          </w:p>
        </w:tc>
      </w:tr>
      <w:tr w:rsidR="006F4F1F" w:rsidRPr="006F4F1F" w:rsidTr="007875C6">
        <w:trPr>
          <w:trHeight w:val="287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S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exam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D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C-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S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Exam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A+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</w:t>
            </w:r>
          </w:p>
        </w:tc>
      </w:tr>
      <w:tr w:rsidR="006F4F1F" w:rsidRPr="006F4F1F" w:rsidTr="007875C6">
        <w:trPr>
          <w:trHeight w:val="607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3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S</w:t>
            </w:r>
          </w:p>
        </w:tc>
        <w:tc>
          <w:tcPr>
            <w:tcW w:w="2865" w:type="dxa"/>
          </w:tcPr>
          <w:p w:rsid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Extended experimental investigation</w:t>
            </w:r>
            <w:r w:rsidR="00414BFF">
              <w:rPr>
                <w:sz w:val="24"/>
                <w:szCs w:val="24"/>
              </w:rPr>
              <w:t xml:space="preserve"> (EEI)</w:t>
            </w:r>
          </w:p>
          <w:p w:rsidR="005C722C" w:rsidRPr="006F4F1F" w:rsidRDefault="005C722C" w:rsidP="00C5317D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A+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A+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A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Verification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C+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A-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A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4</w:t>
            </w:r>
          </w:p>
        </w:tc>
        <w:tc>
          <w:tcPr>
            <w:tcW w:w="84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S</w:t>
            </w:r>
          </w:p>
        </w:tc>
        <w:tc>
          <w:tcPr>
            <w:tcW w:w="286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Exam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C+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C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sz w:val="24"/>
                <w:szCs w:val="24"/>
              </w:rPr>
            </w:pPr>
            <w:r w:rsidRPr="006F4F1F">
              <w:rPr>
                <w:sz w:val="24"/>
                <w:szCs w:val="24"/>
              </w:rPr>
              <w:t>B-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EXIT</w:t>
            </w:r>
          </w:p>
        </w:tc>
        <w:tc>
          <w:tcPr>
            <w:tcW w:w="1700" w:type="dxa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C</w:t>
            </w:r>
          </w:p>
        </w:tc>
        <w:tc>
          <w:tcPr>
            <w:tcW w:w="1490" w:type="dxa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B</w:t>
            </w:r>
          </w:p>
        </w:tc>
        <w:tc>
          <w:tcPr>
            <w:tcW w:w="1475" w:type="dxa"/>
          </w:tcPr>
          <w:p w:rsidR="006F4F1F" w:rsidRPr="006F4F1F" w:rsidRDefault="006F4F1F" w:rsidP="00C5317D">
            <w:pPr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A</w:t>
            </w:r>
          </w:p>
        </w:tc>
      </w:tr>
      <w:tr w:rsidR="006F4F1F" w:rsidRPr="006F4F1F" w:rsidTr="007875C6">
        <w:trPr>
          <w:trHeight w:val="303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FINAL OVERALL RESULT</w:t>
            </w:r>
          </w:p>
        </w:tc>
        <w:tc>
          <w:tcPr>
            <w:tcW w:w="4665" w:type="dxa"/>
            <w:gridSpan w:val="3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B-</w:t>
            </w:r>
          </w:p>
        </w:tc>
      </w:tr>
      <w:tr w:rsidR="006F4F1F" w:rsidRPr="006F4F1F" w:rsidTr="007875C6">
        <w:trPr>
          <w:trHeight w:val="162"/>
        </w:trPr>
        <w:tc>
          <w:tcPr>
            <w:tcW w:w="1135" w:type="dxa"/>
          </w:tcPr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0" w:type="dxa"/>
            <w:gridSpan w:val="2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Rank Order for OP calculation</w:t>
            </w:r>
          </w:p>
        </w:tc>
        <w:tc>
          <w:tcPr>
            <w:tcW w:w="4665" w:type="dxa"/>
            <w:gridSpan w:val="3"/>
          </w:tcPr>
          <w:p w:rsidR="006F4F1F" w:rsidRPr="006F4F1F" w:rsidRDefault="006F4F1F" w:rsidP="00C5317D">
            <w:pPr>
              <w:jc w:val="center"/>
              <w:rPr>
                <w:b/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57</w:t>
            </w:r>
            <w:r w:rsidRPr="006F4F1F">
              <w:rPr>
                <w:b/>
                <w:sz w:val="24"/>
                <w:szCs w:val="24"/>
                <w:vertAlign w:val="superscript"/>
              </w:rPr>
              <w:t>th</w:t>
            </w:r>
            <w:r w:rsidRPr="006F4F1F">
              <w:rPr>
                <w:b/>
                <w:sz w:val="24"/>
                <w:szCs w:val="24"/>
              </w:rPr>
              <w:t xml:space="preserve"> out of 169 students</w:t>
            </w:r>
          </w:p>
          <w:p w:rsidR="006F4F1F" w:rsidRPr="006F4F1F" w:rsidRDefault="006F4F1F" w:rsidP="00C5317D">
            <w:pPr>
              <w:jc w:val="center"/>
              <w:rPr>
                <w:sz w:val="24"/>
                <w:szCs w:val="24"/>
              </w:rPr>
            </w:pPr>
            <w:r w:rsidRPr="006F4F1F">
              <w:rPr>
                <w:b/>
                <w:sz w:val="24"/>
                <w:szCs w:val="24"/>
              </w:rPr>
              <w:t>(Calculated by guesswork)</w:t>
            </w:r>
          </w:p>
        </w:tc>
      </w:tr>
    </w:tbl>
    <w:p w:rsidR="007875C6" w:rsidRPr="00224358" w:rsidRDefault="007875C6">
      <w:pPr>
        <w:rPr>
          <w:rFonts w:ascii="Times New Roman" w:hAnsi="Times New Roman" w:cs="Times New Roman"/>
          <w:color w:val="FF0000"/>
          <w:sz w:val="24"/>
          <w:szCs w:val="24"/>
        </w:rPr>
      </w:pPr>
      <w:r w:rsidRPr="007875C6">
        <w:rPr>
          <w:rFonts w:ascii="Times New Roman" w:hAnsi="Times New Roman" w:cs="Times New Roman"/>
          <w:sz w:val="24"/>
          <w:szCs w:val="24"/>
        </w:rPr>
        <w:t xml:space="preserve">Table 1: </w:t>
      </w:r>
      <w:r>
        <w:rPr>
          <w:rFonts w:ascii="Times New Roman" w:hAnsi="Times New Roman" w:cs="Times New Roman"/>
          <w:sz w:val="24"/>
          <w:szCs w:val="24"/>
        </w:rPr>
        <w:t>QSA system of aggregating results: The r</w:t>
      </w:r>
      <w:r w:rsidRPr="007875C6">
        <w:rPr>
          <w:rFonts w:ascii="Times New Roman" w:hAnsi="Times New Roman" w:cs="Times New Roman"/>
          <w:sz w:val="24"/>
          <w:szCs w:val="24"/>
        </w:rPr>
        <w:t xml:space="preserve">esults matrix </w:t>
      </w:r>
      <w:r>
        <w:rPr>
          <w:rFonts w:ascii="Times New Roman" w:hAnsi="Times New Roman" w:cs="Times New Roman"/>
          <w:sz w:val="24"/>
          <w:szCs w:val="24"/>
        </w:rPr>
        <w:t xml:space="preserve">is used to make </w:t>
      </w:r>
      <w:proofErr w:type="gramStart"/>
      <w:r w:rsidRPr="007875C6">
        <w:rPr>
          <w:rFonts w:ascii="Times New Roman" w:hAnsi="Times New Roman" w:cs="Times New Roman"/>
          <w:sz w:val="24"/>
          <w:szCs w:val="24"/>
        </w:rPr>
        <w:t>an</w:t>
      </w:r>
      <w:proofErr w:type="gramEnd"/>
      <w:r w:rsidRPr="007875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7875C6">
        <w:rPr>
          <w:rFonts w:ascii="Times New Roman" w:hAnsi="Times New Roman" w:cs="Times New Roman"/>
          <w:sz w:val="24"/>
          <w:szCs w:val="24"/>
        </w:rPr>
        <w:t>holistic judgement</w:t>
      </w:r>
      <w:r>
        <w:rPr>
          <w:rFonts w:ascii="Times New Roman" w:hAnsi="Times New Roman" w:cs="Times New Roman"/>
          <w:sz w:val="24"/>
          <w:szCs w:val="24"/>
        </w:rPr>
        <w:t>”</w:t>
      </w:r>
      <w:r w:rsidRPr="007875C6">
        <w:rPr>
          <w:rFonts w:ascii="Times New Roman" w:hAnsi="Times New Roman" w:cs="Times New Roman"/>
          <w:sz w:val="24"/>
          <w:szCs w:val="24"/>
        </w:rPr>
        <w:t xml:space="preserve"> of the final result</w:t>
      </w:r>
      <w:r w:rsidR="00C56220">
        <w:rPr>
          <w:rFonts w:ascii="Times New Roman" w:hAnsi="Times New Roman" w:cs="Times New Roman"/>
          <w:sz w:val="24"/>
          <w:szCs w:val="24"/>
        </w:rPr>
        <w:t xml:space="preserve">. </w:t>
      </w:r>
      <w:r w:rsidR="00AD7B55">
        <w:rPr>
          <w:rFonts w:ascii="Times New Roman" w:hAnsi="Times New Roman" w:cs="Times New Roman"/>
          <w:sz w:val="24"/>
          <w:szCs w:val="24"/>
        </w:rPr>
        <w:t>This sheet was based on a real</w:t>
      </w:r>
      <w:r w:rsidR="00C56220">
        <w:rPr>
          <w:rFonts w:ascii="Times New Roman" w:hAnsi="Times New Roman" w:cs="Times New Roman"/>
          <w:sz w:val="24"/>
          <w:szCs w:val="24"/>
        </w:rPr>
        <w:t xml:space="preserve"> students result matrix. How the school </w:t>
      </w:r>
      <w:r w:rsidR="00167EFC">
        <w:rPr>
          <w:rFonts w:ascii="Times New Roman" w:hAnsi="Times New Roman" w:cs="Times New Roman"/>
          <w:sz w:val="24"/>
          <w:szCs w:val="24"/>
        </w:rPr>
        <w:t>is supposed to determine</w:t>
      </w:r>
      <w:r w:rsidR="00C56220">
        <w:rPr>
          <w:rFonts w:ascii="Times New Roman" w:hAnsi="Times New Roman" w:cs="Times New Roman"/>
          <w:sz w:val="24"/>
          <w:szCs w:val="24"/>
        </w:rPr>
        <w:t xml:space="preserve"> the rank order </w:t>
      </w:r>
      <w:r w:rsidR="00AD7B55">
        <w:rPr>
          <w:rFonts w:ascii="Times New Roman" w:hAnsi="Times New Roman" w:cs="Times New Roman"/>
          <w:sz w:val="24"/>
          <w:szCs w:val="24"/>
        </w:rPr>
        <w:t>(57</w:t>
      </w:r>
      <w:r w:rsidR="00AD7B55" w:rsidRPr="00AD7B5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D7B55">
        <w:rPr>
          <w:rFonts w:ascii="Times New Roman" w:hAnsi="Times New Roman" w:cs="Times New Roman"/>
          <w:sz w:val="24"/>
          <w:szCs w:val="24"/>
        </w:rPr>
        <w:t xml:space="preserve"> out of 169) </w:t>
      </w:r>
      <w:r w:rsidR="00C56220">
        <w:rPr>
          <w:rFonts w:ascii="Times New Roman" w:hAnsi="Times New Roman" w:cs="Times New Roman"/>
          <w:sz w:val="24"/>
          <w:szCs w:val="24"/>
        </w:rPr>
        <w:t>from these matrices is anybody’s guess.</w:t>
      </w:r>
      <w:r w:rsidR="00224358">
        <w:rPr>
          <w:rFonts w:ascii="Times New Roman" w:hAnsi="Times New Roman" w:cs="Times New Roman"/>
          <w:sz w:val="24"/>
          <w:szCs w:val="24"/>
        </w:rPr>
        <w:t xml:space="preserve"> </w:t>
      </w:r>
      <w:r w:rsidR="00167EFC">
        <w:rPr>
          <w:rFonts w:ascii="Times New Roman" w:hAnsi="Times New Roman" w:cs="Times New Roman"/>
          <w:sz w:val="24"/>
          <w:szCs w:val="24"/>
        </w:rPr>
        <w:t>Many schools illegally use marks.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6F4F1F" w:rsidRPr="006A6F1B" w:rsidTr="006F4F1F">
        <w:tc>
          <w:tcPr>
            <w:tcW w:w="4621" w:type="dxa"/>
          </w:tcPr>
          <w:p w:rsidR="006F4F1F" w:rsidRPr="006A6F1B" w:rsidRDefault="006F4F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Small Test</w:t>
            </w:r>
            <w:r w:rsidR="007875C6" w:rsidRPr="006A6F1B">
              <w:rPr>
                <w:rFonts w:ascii="Times New Roman" w:hAnsi="Times New Roman" w:cs="Times New Roman"/>
                <w:sz w:val="24"/>
                <w:szCs w:val="24"/>
              </w:rPr>
              <w:t>/ 20</w:t>
            </w:r>
          </w:p>
        </w:tc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F4F1F" w:rsidRPr="006A6F1B" w:rsidTr="006F4F1F"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Practical/15</w:t>
            </w:r>
          </w:p>
        </w:tc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F4F1F" w:rsidRPr="006A6F1B" w:rsidTr="006F4F1F"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Assignment/5</w:t>
            </w:r>
          </w:p>
        </w:tc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</w:tr>
      <w:tr w:rsidR="006F4F1F" w:rsidRPr="006A6F1B" w:rsidTr="006F4F1F"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Exam/ 60</w:t>
            </w:r>
          </w:p>
        </w:tc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6F4F1F" w:rsidRPr="006A6F1B" w:rsidTr="006F4F1F"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Final Percentage</w:t>
            </w:r>
          </w:p>
        </w:tc>
        <w:tc>
          <w:tcPr>
            <w:tcW w:w="4621" w:type="dxa"/>
          </w:tcPr>
          <w:p w:rsidR="006F4F1F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</w:tr>
      <w:tr w:rsidR="007875C6" w:rsidRPr="006A6F1B" w:rsidTr="006F4F1F">
        <w:tc>
          <w:tcPr>
            <w:tcW w:w="4621" w:type="dxa"/>
          </w:tcPr>
          <w:p w:rsidR="007875C6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Final Grade after consultation with district Panel</w:t>
            </w:r>
          </w:p>
        </w:tc>
        <w:tc>
          <w:tcPr>
            <w:tcW w:w="4621" w:type="dxa"/>
          </w:tcPr>
          <w:p w:rsidR="007875C6" w:rsidRPr="006A6F1B" w:rsidRDefault="007875C6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A6F1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A6F1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-</w:t>
            </w:r>
          </w:p>
        </w:tc>
      </w:tr>
    </w:tbl>
    <w:p w:rsidR="00BD2916" w:rsidRPr="006A6F1B" w:rsidRDefault="007875C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6A6F1B">
        <w:rPr>
          <w:rFonts w:ascii="Times New Roman" w:hAnsi="Times New Roman" w:cs="Times New Roman"/>
          <w:sz w:val="24"/>
          <w:szCs w:val="24"/>
        </w:rPr>
        <w:t>Table 2: System used in most of the rest of the world.</w:t>
      </w:r>
      <w:proofErr w:type="gramEnd"/>
      <w:r w:rsidRPr="006A6F1B">
        <w:rPr>
          <w:rFonts w:ascii="Times New Roman" w:hAnsi="Times New Roman" w:cs="Times New Roman"/>
          <w:sz w:val="24"/>
          <w:szCs w:val="24"/>
        </w:rPr>
        <w:t xml:space="preserve"> Marks are added up and the final grade is </w:t>
      </w:r>
      <w:r w:rsidR="00C56220" w:rsidRPr="006A6F1B">
        <w:rPr>
          <w:rFonts w:ascii="Times New Roman" w:hAnsi="Times New Roman" w:cs="Times New Roman"/>
          <w:sz w:val="24"/>
          <w:szCs w:val="24"/>
        </w:rPr>
        <w:t>judged by</w:t>
      </w:r>
      <w:r w:rsidRPr="006A6F1B">
        <w:rPr>
          <w:rFonts w:ascii="Times New Roman" w:hAnsi="Times New Roman" w:cs="Times New Roman"/>
          <w:sz w:val="24"/>
          <w:szCs w:val="24"/>
        </w:rPr>
        <w:t xml:space="preserve"> analysing the difficulty of the assessment.</w:t>
      </w:r>
      <w:r w:rsidR="00C56220" w:rsidRPr="006A6F1B">
        <w:rPr>
          <w:rFonts w:ascii="Times New Roman" w:hAnsi="Times New Roman" w:cs="Times New Roman"/>
          <w:sz w:val="24"/>
          <w:szCs w:val="24"/>
        </w:rPr>
        <w:t xml:space="preserve"> Rank order for OP calculation is a trivial task,</w:t>
      </w:r>
      <w:r w:rsidR="00AD7B55">
        <w:rPr>
          <w:rFonts w:ascii="Times New Roman" w:hAnsi="Times New Roman" w:cs="Times New Roman"/>
          <w:sz w:val="24"/>
          <w:szCs w:val="24"/>
        </w:rPr>
        <w:t xml:space="preserve"> i.e</w:t>
      </w:r>
      <w:r w:rsidR="002C27CC">
        <w:rPr>
          <w:rFonts w:ascii="Times New Roman" w:hAnsi="Times New Roman" w:cs="Times New Roman"/>
          <w:sz w:val="24"/>
          <w:szCs w:val="24"/>
        </w:rPr>
        <w:t>.</w:t>
      </w:r>
      <w:r w:rsidR="00AD7B55">
        <w:rPr>
          <w:rFonts w:ascii="Times New Roman" w:hAnsi="Times New Roman" w:cs="Times New Roman"/>
          <w:sz w:val="24"/>
          <w:szCs w:val="24"/>
        </w:rPr>
        <w:t xml:space="preserve"> just look at the final percentage</w:t>
      </w:r>
      <w:r w:rsidR="00C56220" w:rsidRPr="006A6F1B">
        <w:rPr>
          <w:rFonts w:ascii="Times New Roman" w:hAnsi="Times New Roman" w:cs="Times New Roman"/>
          <w:sz w:val="24"/>
          <w:szCs w:val="24"/>
        </w:rPr>
        <w:t>.</w:t>
      </w:r>
    </w:p>
    <w:sectPr w:rsidR="00BD2916" w:rsidRPr="006A6F1B" w:rsidSect="00247A0F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535AC"/>
    <w:multiLevelType w:val="hybridMultilevel"/>
    <w:tmpl w:val="A4EED5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C7A2C"/>
    <w:multiLevelType w:val="hybridMultilevel"/>
    <w:tmpl w:val="6406C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39433D"/>
    <w:multiLevelType w:val="hybridMultilevel"/>
    <w:tmpl w:val="B046FC50"/>
    <w:lvl w:ilvl="0" w:tplc="FC669A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8D5FE8"/>
    <w:multiLevelType w:val="hybridMultilevel"/>
    <w:tmpl w:val="37DC55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484637"/>
    <w:multiLevelType w:val="hybridMultilevel"/>
    <w:tmpl w:val="9B4C49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03F19"/>
    <w:multiLevelType w:val="hybridMultilevel"/>
    <w:tmpl w:val="A52C0D4E"/>
    <w:lvl w:ilvl="0" w:tplc="7F1024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E1AB9"/>
    <w:multiLevelType w:val="hybridMultilevel"/>
    <w:tmpl w:val="D66808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640EFA"/>
    <w:multiLevelType w:val="hybridMultilevel"/>
    <w:tmpl w:val="9C6A18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D36D45"/>
    <w:multiLevelType w:val="hybridMultilevel"/>
    <w:tmpl w:val="6F6AD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63DDE"/>
    <w:multiLevelType w:val="hybridMultilevel"/>
    <w:tmpl w:val="818E96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B24A49"/>
    <w:multiLevelType w:val="hybridMultilevel"/>
    <w:tmpl w:val="47501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4E53C8"/>
    <w:multiLevelType w:val="hybridMultilevel"/>
    <w:tmpl w:val="C00E5CB0"/>
    <w:lvl w:ilvl="0" w:tplc="1A545C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10"/>
  </w:num>
  <w:num w:numId="8">
    <w:abstractNumId w:val="6"/>
  </w:num>
  <w:num w:numId="9">
    <w:abstractNumId w:val="2"/>
  </w:num>
  <w:num w:numId="10">
    <w:abstractNumId w:val="5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916"/>
    <w:rsid w:val="00026A38"/>
    <w:rsid w:val="0003338E"/>
    <w:rsid w:val="00044880"/>
    <w:rsid w:val="00045639"/>
    <w:rsid w:val="000952FA"/>
    <w:rsid w:val="00096551"/>
    <w:rsid w:val="000B21C8"/>
    <w:rsid w:val="000B598D"/>
    <w:rsid w:val="000D0FE3"/>
    <w:rsid w:val="000D2E5F"/>
    <w:rsid w:val="000E7FDB"/>
    <w:rsid w:val="000F03F9"/>
    <w:rsid w:val="0013414A"/>
    <w:rsid w:val="001575AF"/>
    <w:rsid w:val="00167EFC"/>
    <w:rsid w:val="00177CA6"/>
    <w:rsid w:val="001B00C7"/>
    <w:rsid w:val="001B55F6"/>
    <w:rsid w:val="001D0E56"/>
    <w:rsid w:val="001D258E"/>
    <w:rsid w:val="001D65C3"/>
    <w:rsid w:val="00211D59"/>
    <w:rsid w:val="00224358"/>
    <w:rsid w:val="00231483"/>
    <w:rsid w:val="00247A0F"/>
    <w:rsid w:val="00263745"/>
    <w:rsid w:val="002C27CC"/>
    <w:rsid w:val="002D4672"/>
    <w:rsid w:val="002D7787"/>
    <w:rsid w:val="003052AD"/>
    <w:rsid w:val="00314E20"/>
    <w:rsid w:val="003228F5"/>
    <w:rsid w:val="00335754"/>
    <w:rsid w:val="00344BF6"/>
    <w:rsid w:val="0037424B"/>
    <w:rsid w:val="003B0BE2"/>
    <w:rsid w:val="003D5431"/>
    <w:rsid w:val="003D70AE"/>
    <w:rsid w:val="00414BFF"/>
    <w:rsid w:val="00426848"/>
    <w:rsid w:val="004464A0"/>
    <w:rsid w:val="00462D92"/>
    <w:rsid w:val="00467AE3"/>
    <w:rsid w:val="004C1F8D"/>
    <w:rsid w:val="004C49D5"/>
    <w:rsid w:val="004D048C"/>
    <w:rsid w:val="004E20D0"/>
    <w:rsid w:val="00502490"/>
    <w:rsid w:val="0053236B"/>
    <w:rsid w:val="00536B50"/>
    <w:rsid w:val="00544597"/>
    <w:rsid w:val="00555089"/>
    <w:rsid w:val="005A7E82"/>
    <w:rsid w:val="005C36B4"/>
    <w:rsid w:val="005C722C"/>
    <w:rsid w:val="005D526B"/>
    <w:rsid w:val="00617A7C"/>
    <w:rsid w:val="006453F1"/>
    <w:rsid w:val="0064697B"/>
    <w:rsid w:val="00662573"/>
    <w:rsid w:val="00667AB8"/>
    <w:rsid w:val="006779A5"/>
    <w:rsid w:val="006A6F1B"/>
    <w:rsid w:val="006C392D"/>
    <w:rsid w:val="006D0B62"/>
    <w:rsid w:val="006D6DD8"/>
    <w:rsid w:val="006D73C1"/>
    <w:rsid w:val="006F4F1F"/>
    <w:rsid w:val="007057F0"/>
    <w:rsid w:val="00713B17"/>
    <w:rsid w:val="007320CB"/>
    <w:rsid w:val="00734A73"/>
    <w:rsid w:val="00746332"/>
    <w:rsid w:val="00785BDE"/>
    <w:rsid w:val="007875C6"/>
    <w:rsid w:val="007918F5"/>
    <w:rsid w:val="00792FB4"/>
    <w:rsid w:val="00796C2A"/>
    <w:rsid w:val="007C6608"/>
    <w:rsid w:val="007C72A9"/>
    <w:rsid w:val="00826304"/>
    <w:rsid w:val="00851EEA"/>
    <w:rsid w:val="0086048B"/>
    <w:rsid w:val="00867870"/>
    <w:rsid w:val="00870B35"/>
    <w:rsid w:val="00871EBB"/>
    <w:rsid w:val="008746B8"/>
    <w:rsid w:val="008A01B2"/>
    <w:rsid w:val="008A4682"/>
    <w:rsid w:val="008F482C"/>
    <w:rsid w:val="009025F1"/>
    <w:rsid w:val="009129D5"/>
    <w:rsid w:val="009534CE"/>
    <w:rsid w:val="009701F5"/>
    <w:rsid w:val="00994C0E"/>
    <w:rsid w:val="0099571E"/>
    <w:rsid w:val="009A7779"/>
    <w:rsid w:val="009B14F7"/>
    <w:rsid w:val="009D072B"/>
    <w:rsid w:val="009D6A11"/>
    <w:rsid w:val="009F1BCC"/>
    <w:rsid w:val="009F5269"/>
    <w:rsid w:val="00A35FD4"/>
    <w:rsid w:val="00A47828"/>
    <w:rsid w:val="00A625A6"/>
    <w:rsid w:val="00A66D46"/>
    <w:rsid w:val="00A955D6"/>
    <w:rsid w:val="00A959CB"/>
    <w:rsid w:val="00AB4CAD"/>
    <w:rsid w:val="00AD7B55"/>
    <w:rsid w:val="00AF7DD1"/>
    <w:rsid w:val="00B82234"/>
    <w:rsid w:val="00BB1FEF"/>
    <w:rsid w:val="00BC7612"/>
    <w:rsid w:val="00BD2916"/>
    <w:rsid w:val="00C056D7"/>
    <w:rsid w:val="00C15025"/>
    <w:rsid w:val="00C340B1"/>
    <w:rsid w:val="00C5317D"/>
    <w:rsid w:val="00C56220"/>
    <w:rsid w:val="00C64D0C"/>
    <w:rsid w:val="00C97C70"/>
    <w:rsid w:val="00CA73DB"/>
    <w:rsid w:val="00CE60AC"/>
    <w:rsid w:val="00CF134D"/>
    <w:rsid w:val="00CF4E92"/>
    <w:rsid w:val="00D245D1"/>
    <w:rsid w:val="00D37949"/>
    <w:rsid w:val="00D46795"/>
    <w:rsid w:val="00D7094E"/>
    <w:rsid w:val="00D758EA"/>
    <w:rsid w:val="00D77536"/>
    <w:rsid w:val="00D8387A"/>
    <w:rsid w:val="00D9270F"/>
    <w:rsid w:val="00DA6A5F"/>
    <w:rsid w:val="00DD604F"/>
    <w:rsid w:val="00E02F19"/>
    <w:rsid w:val="00E17934"/>
    <w:rsid w:val="00E30317"/>
    <w:rsid w:val="00E45FF9"/>
    <w:rsid w:val="00E62FD0"/>
    <w:rsid w:val="00E820BB"/>
    <w:rsid w:val="00E915EB"/>
    <w:rsid w:val="00E91ACC"/>
    <w:rsid w:val="00E9604B"/>
    <w:rsid w:val="00F044CB"/>
    <w:rsid w:val="00F12B89"/>
    <w:rsid w:val="00F62958"/>
    <w:rsid w:val="00F77F69"/>
    <w:rsid w:val="00F9543D"/>
    <w:rsid w:val="00FB3D75"/>
    <w:rsid w:val="00FE293C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2916"/>
  </w:style>
  <w:style w:type="table" w:styleId="TableGrid">
    <w:name w:val="Table Grid"/>
    <w:basedOn w:val="TableNormal"/>
    <w:uiPriority w:val="59"/>
    <w:rsid w:val="006F4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918F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5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9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BD2916"/>
  </w:style>
  <w:style w:type="table" w:styleId="TableGrid">
    <w:name w:val="Table Grid"/>
    <w:basedOn w:val="TableNormal"/>
    <w:uiPriority w:val="59"/>
    <w:rsid w:val="006F4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7918F5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D54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D54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D54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54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543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5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54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29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6EAB7-6E0E-4ECD-A18F-4D6CBD807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Cook University</Company>
  <LinksUpToDate>false</LinksUpToDate>
  <CharactersWithSpaces>1402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Ridd</dc:creator>
  <cp:lastModifiedBy>Mel Boer</cp:lastModifiedBy>
  <cp:revision>4</cp:revision>
  <cp:lastPrinted>2013-03-04T01:34:00Z</cp:lastPrinted>
  <dcterms:created xsi:type="dcterms:W3CDTF">2013-03-15T01:39:00Z</dcterms:created>
  <dcterms:modified xsi:type="dcterms:W3CDTF">2013-03-15T01:40:00Z</dcterms:modified>
</cp:coreProperties>
</file>