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75" w:rsidRDefault="00CA4A01" w:rsidP="00CA4A01">
      <w:pPr>
        <w:tabs>
          <w:tab w:val="left" w:pos="2268"/>
        </w:tabs>
        <w:jc w:val="right"/>
        <w:rPr>
          <w:rFonts w:ascii="Times New Roman" w:hAnsi="Times New Roman" w:cs="Times New Roman"/>
          <w:sz w:val="24"/>
          <w:szCs w:val="24"/>
        </w:rPr>
      </w:pPr>
      <w:r w:rsidRPr="00CA4A01">
        <w:rPr>
          <w:rFonts w:ascii="Times New Roman" w:hAnsi="Times New Roman" w:cs="Times New Roman"/>
          <w:noProof/>
          <w:sz w:val="24"/>
          <w:szCs w:val="24"/>
          <w:lang w:eastAsia="en-AU"/>
        </w:rPr>
        <w:drawing>
          <wp:inline distT="0" distB="0" distL="0" distR="0">
            <wp:extent cx="2133600" cy="1130300"/>
            <wp:effectExtent l="0" t="0" r="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0300"/>
                    </a:xfrm>
                    <a:prstGeom prst="rect">
                      <a:avLst/>
                    </a:prstGeom>
                    <a:noFill/>
                    <a:ln>
                      <a:noFill/>
                    </a:ln>
                  </pic:spPr>
                </pic:pic>
              </a:graphicData>
            </a:graphic>
          </wp:inline>
        </w:drawing>
      </w:r>
    </w:p>
    <w:p w:rsidR="00014E19" w:rsidRDefault="00014E19" w:rsidP="00014E19">
      <w:pPr>
        <w:contextualSpacing/>
        <w:rPr>
          <w:rFonts w:ascii="Times New Roman" w:hAnsi="Times New Roman" w:cs="Times New Roman"/>
          <w:sz w:val="24"/>
          <w:szCs w:val="24"/>
        </w:rPr>
      </w:pPr>
      <w:r>
        <w:rPr>
          <w:rFonts w:ascii="Times New Roman" w:hAnsi="Times New Roman" w:cs="Times New Roman"/>
          <w:sz w:val="24"/>
          <w:szCs w:val="24"/>
        </w:rPr>
        <w:t>Mrs Menkens</w:t>
      </w:r>
    </w:p>
    <w:p w:rsidR="00014E19" w:rsidRDefault="003B3513" w:rsidP="00014E19">
      <w:pPr>
        <w:contextualSpacing/>
        <w:rPr>
          <w:rFonts w:ascii="Times New Roman" w:hAnsi="Times New Roman" w:cs="Times New Roman"/>
          <w:sz w:val="24"/>
          <w:szCs w:val="24"/>
        </w:rPr>
      </w:pPr>
      <w:r>
        <w:rPr>
          <w:rFonts w:ascii="Times New Roman" w:hAnsi="Times New Roman" w:cs="Times New Roman"/>
          <w:sz w:val="24"/>
          <w:szCs w:val="24"/>
        </w:rPr>
        <w:t>Chair,</w:t>
      </w:r>
      <w:r w:rsidR="00014E19">
        <w:rPr>
          <w:rFonts w:ascii="Times New Roman" w:hAnsi="Times New Roman" w:cs="Times New Roman"/>
          <w:sz w:val="24"/>
          <w:szCs w:val="24"/>
        </w:rPr>
        <w:t xml:space="preserve"> Queensland Parliament Education and Innovation Committee</w:t>
      </w:r>
    </w:p>
    <w:p w:rsidR="00552D0B" w:rsidRDefault="00552D0B" w:rsidP="00552D0B">
      <w:pPr>
        <w:widowControl w:val="0"/>
        <w:autoSpaceDE w:val="0"/>
        <w:autoSpaceDN w:val="0"/>
        <w:adjustRightInd w:val="0"/>
        <w:contextualSpacing/>
        <w:rPr>
          <w:rFonts w:ascii="Times New Roman" w:hAnsi="Times New Roman" w:cs="Times New Roman"/>
          <w:lang w:val="en-US"/>
        </w:rPr>
      </w:pPr>
      <w:r>
        <w:rPr>
          <w:rFonts w:ascii="Times New Roman" w:hAnsi="Times New Roman" w:cs="Times New Roman"/>
          <w:lang w:val="en-US"/>
        </w:rPr>
        <w:t>Inqu</w:t>
      </w:r>
      <w:r w:rsidR="00037498">
        <w:rPr>
          <w:rFonts w:ascii="Times New Roman" w:hAnsi="Times New Roman" w:cs="Times New Roman"/>
          <w:lang w:val="en-US"/>
        </w:rPr>
        <w:t>iry into Assessment Methods in S</w:t>
      </w:r>
      <w:r>
        <w:rPr>
          <w:rFonts w:ascii="Times New Roman" w:hAnsi="Times New Roman" w:cs="Times New Roman"/>
          <w:lang w:val="en-US"/>
        </w:rPr>
        <w:t>enior Maths, Chemistry and Physics</w:t>
      </w:r>
    </w:p>
    <w:p w:rsidR="00552D0B" w:rsidRPr="005C6C6B" w:rsidRDefault="00552D0B" w:rsidP="00552D0B">
      <w:pPr>
        <w:widowControl w:val="0"/>
        <w:autoSpaceDE w:val="0"/>
        <w:autoSpaceDN w:val="0"/>
        <w:adjustRightInd w:val="0"/>
        <w:contextualSpacing/>
        <w:rPr>
          <w:rFonts w:ascii="Times New Roman" w:hAnsi="Times New Roman" w:cs="Times New Roman"/>
          <w:lang w:val="en-US"/>
        </w:rPr>
      </w:pPr>
      <w:r w:rsidRPr="005C6C6B">
        <w:rPr>
          <w:rFonts w:ascii="Times New Roman" w:hAnsi="Times New Roman" w:cs="Times New Roman"/>
          <w:lang w:val="en-US"/>
        </w:rPr>
        <w:t>100 George Street</w:t>
      </w:r>
    </w:p>
    <w:p w:rsidR="00552D0B" w:rsidRPr="005C6C6B" w:rsidRDefault="00552D0B" w:rsidP="00552D0B">
      <w:pPr>
        <w:widowControl w:val="0"/>
        <w:autoSpaceDE w:val="0"/>
        <w:autoSpaceDN w:val="0"/>
        <w:adjustRightInd w:val="0"/>
        <w:contextualSpacing/>
        <w:rPr>
          <w:rFonts w:ascii="Times New Roman" w:hAnsi="Times New Roman" w:cs="Times New Roman"/>
          <w:lang w:val="en-US"/>
        </w:rPr>
      </w:pPr>
      <w:r w:rsidRPr="005C6C6B">
        <w:rPr>
          <w:rFonts w:ascii="Times New Roman" w:hAnsi="Times New Roman" w:cs="Times New Roman"/>
          <w:lang w:val="en-US"/>
        </w:rPr>
        <w:t>BRISBANE Q 4069</w:t>
      </w:r>
    </w:p>
    <w:p w:rsidR="00552D0B" w:rsidRPr="005C6C6B" w:rsidRDefault="00427A4D" w:rsidP="00552D0B">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15</w:t>
      </w:r>
      <w:r w:rsidR="00552D0B" w:rsidRPr="005C6C6B">
        <w:rPr>
          <w:rFonts w:ascii="Times New Roman" w:hAnsi="Times New Roman" w:cs="Times New Roman"/>
          <w:lang w:val="en-US"/>
        </w:rPr>
        <w:t xml:space="preserve"> July 2013</w:t>
      </w:r>
    </w:p>
    <w:p w:rsidR="00552D0B" w:rsidRDefault="00552D0B" w:rsidP="00552D0B">
      <w:pPr>
        <w:widowControl w:val="0"/>
        <w:autoSpaceDE w:val="0"/>
        <w:autoSpaceDN w:val="0"/>
        <w:adjustRightInd w:val="0"/>
        <w:rPr>
          <w:rFonts w:ascii="Times New Roman" w:hAnsi="Times New Roman" w:cs="Times New Roman"/>
          <w:color w:val="FB0007"/>
          <w:lang w:val="en-US"/>
        </w:rPr>
      </w:pPr>
      <w:r w:rsidRPr="005C6C6B">
        <w:rPr>
          <w:rFonts w:ascii="Times New Roman" w:hAnsi="Times New Roman" w:cs="Times New Roman"/>
          <w:lang w:val="en-US"/>
        </w:rPr>
        <w:t xml:space="preserve">Dear </w:t>
      </w:r>
      <w:r w:rsidR="00180672" w:rsidRPr="005C6C6B">
        <w:rPr>
          <w:rFonts w:ascii="Times New Roman" w:hAnsi="Times New Roman" w:cs="Times New Roman"/>
          <w:lang w:val="en-US"/>
        </w:rPr>
        <w:t>Mrs.</w:t>
      </w:r>
      <w:r w:rsidRPr="005C6C6B">
        <w:rPr>
          <w:rFonts w:ascii="Times New Roman" w:hAnsi="Times New Roman" w:cs="Times New Roman"/>
          <w:lang w:val="en-US"/>
        </w:rPr>
        <w:t xml:space="preserve"> Menkens</w:t>
      </w:r>
      <w:r w:rsidR="001F7309" w:rsidRPr="00206EE6">
        <w:rPr>
          <w:rFonts w:ascii="Times New Roman" w:hAnsi="Times New Roman" w:cs="Times New Roman"/>
          <w:color w:val="000000" w:themeColor="text1"/>
          <w:lang w:val="en-US"/>
        </w:rPr>
        <w:t>,</w:t>
      </w:r>
    </w:p>
    <w:p w:rsidR="00552D0B" w:rsidRPr="00552D0B" w:rsidRDefault="00037498" w:rsidP="00552D0B">
      <w:pPr>
        <w:widowControl w:val="0"/>
        <w:autoSpaceDE w:val="0"/>
        <w:autoSpaceDN w:val="0"/>
        <w:adjustRightInd w:val="0"/>
        <w:rPr>
          <w:rFonts w:ascii="Calibri" w:hAnsi="Calibri" w:cs="Calibri"/>
          <w:color w:val="000000" w:themeColor="text1"/>
          <w:lang w:val="en-US"/>
        </w:rPr>
      </w:pPr>
      <w:r>
        <w:rPr>
          <w:rFonts w:ascii="Times New Roman" w:hAnsi="Times New Roman" w:cs="Times New Roman"/>
          <w:color w:val="000000" w:themeColor="text1"/>
          <w:lang w:val="en-US"/>
        </w:rPr>
        <w:t>We thank the committee</w:t>
      </w:r>
      <w:r w:rsidR="00552D0B" w:rsidRPr="00552D0B">
        <w:rPr>
          <w:rFonts w:ascii="Times New Roman" w:hAnsi="Times New Roman" w:cs="Times New Roman"/>
          <w:color w:val="000000" w:themeColor="text1"/>
          <w:lang w:val="en-US"/>
        </w:rPr>
        <w:t xml:space="preserve"> for the opportunity extended to Professor Ridd to make some introductory comments at the outset of this Inquiry</w:t>
      </w:r>
      <w:r w:rsidR="00206EE6">
        <w:rPr>
          <w:rFonts w:ascii="Times New Roman" w:hAnsi="Times New Roman" w:cs="Times New Roman"/>
          <w:color w:val="000000" w:themeColor="text1"/>
          <w:lang w:val="en-US"/>
        </w:rPr>
        <w:t xml:space="preserve">. We </w:t>
      </w:r>
      <w:r w:rsidR="00552D0B" w:rsidRPr="00552D0B">
        <w:rPr>
          <w:rFonts w:ascii="Times New Roman" w:hAnsi="Times New Roman" w:cs="Times New Roman"/>
          <w:color w:val="000000" w:themeColor="text1"/>
          <w:lang w:val="en-US"/>
        </w:rPr>
        <w:t xml:space="preserve">would </w:t>
      </w:r>
      <w:r w:rsidR="00206EE6">
        <w:rPr>
          <w:rFonts w:ascii="Times New Roman" w:hAnsi="Times New Roman" w:cs="Times New Roman"/>
          <w:color w:val="000000" w:themeColor="text1"/>
          <w:lang w:val="en-US"/>
        </w:rPr>
        <w:t>hope that</w:t>
      </w:r>
      <w:r w:rsidR="001F7309">
        <w:rPr>
          <w:rFonts w:ascii="Times New Roman" w:hAnsi="Times New Roman" w:cs="Times New Roman"/>
          <w:color w:val="000000" w:themeColor="text1"/>
          <w:lang w:val="en-US"/>
        </w:rPr>
        <w:t xml:space="preserve"> you will </w:t>
      </w:r>
      <w:r w:rsidR="00206EE6">
        <w:rPr>
          <w:rFonts w:ascii="Times New Roman" w:hAnsi="Times New Roman" w:cs="Times New Roman"/>
          <w:color w:val="000000" w:themeColor="text1"/>
          <w:lang w:val="en-US"/>
        </w:rPr>
        <w:t xml:space="preserve">also </w:t>
      </w:r>
      <w:r w:rsidR="001F7309">
        <w:rPr>
          <w:rFonts w:ascii="Times New Roman" w:hAnsi="Times New Roman" w:cs="Times New Roman"/>
          <w:color w:val="000000" w:themeColor="text1"/>
          <w:lang w:val="en-US"/>
        </w:rPr>
        <w:t xml:space="preserve">accept this letter </w:t>
      </w:r>
      <w:r w:rsidR="00206EE6">
        <w:rPr>
          <w:rFonts w:ascii="Times New Roman" w:hAnsi="Times New Roman" w:cs="Times New Roman"/>
          <w:color w:val="000000" w:themeColor="text1"/>
          <w:lang w:val="en-US"/>
        </w:rPr>
        <w:t xml:space="preserve">for the public record </w:t>
      </w:r>
      <w:r w:rsidR="001F7309">
        <w:rPr>
          <w:rFonts w:ascii="Times New Roman" w:hAnsi="Times New Roman" w:cs="Times New Roman"/>
          <w:color w:val="000000" w:themeColor="text1"/>
          <w:lang w:val="en-US"/>
        </w:rPr>
        <w:t>at</w:t>
      </w:r>
      <w:r w:rsidR="00206EE6">
        <w:rPr>
          <w:rFonts w:ascii="Times New Roman" w:hAnsi="Times New Roman" w:cs="Times New Roman"/>
          <w:color w:val="000000" w:themeColor="text1"/>
          <w:lang w:val="en-US"/>
        </w:rPr>
        <w:t xml:space="preserve"> the conclusion of </w:t>
      </w:r>
      <w:r w:rsidR="00552D0B" w:rsidRPr="00552D0B">
        <w:rPr>
          <w:rFonts w:ascii="Times New Roman" w:hAnsi="Times New Roman" w:cs="Times New Roman"/>
          <w:color w:val="000000" w:themeColor="text1"/>
          <w:lang w:val="en-US"/>
        </w:rPr>
        <w:t>proceedings</w:t>
      </w:r>
      <w:r w:rsidR="00A53724">
        <w:rPr>
          <w:rFonts w:ascii="Times New Roman" w:hAnsi="Times New Roman" w:cs="Times New Roman"/>
          <w:color w:val="000000" w:themeColor="text1"/>
          <w:lang w:val="en-US"/>
        </w:rPr>
        <w:t xml:space="preserve"> and submissions.</w:t>
      </w:r>
      <w:r w:rsidR="00552D0B" w:rsidRPr="00552D0B">
        <w:rPr>
          <w:rFonts w:ascii="Times New Roman" w:hAnsi="Times New Roman" w:cs="Times New Roman"/>
          <w:color w:val="000000" w:themeColor="text1"/>
          <w:lang w:val="en-US"/>
        </w:rPr>
        <w:t xml:space="preserve"> I</w:t>
      </w:r>
      <w:r w:rsidR="001F7309">
        <w:rPr>
          <w:rFonts w:ascii="Times New Roman" w:hAnsi="Times New Roman" w:cs="Times New Roman"/>
          <w:color w:val="000000" w:themeColor="text1"/>
          <w:lang w:val="en-US"/>
        </w:rPr>
        <w:t>n particular, we wish</w:t>
      </w:r>
      <w:r w:rsidR="00552D0B" w:rsidRPr="00552D0B">
        <w:rPr>
          <w:rFonts w:ascii="Times New Roman" w:hAnsi="Times New Roman" w:cs="Times New Roman"/>
          <w:color w:val="000000" w:themeColor="text1"/>
          <w:lang w:val="en-US"/>
        </w:rPr>
        <w:t xml:space="preserve"> </w:t>
      </w:r>
      <w:r w:rsidR="00206EE6">
        <w:rPr>
          <w:rFonts w:ascii="Times New Roman" w:hAnsi="Times New Roman" w:cs="Times New Roman"/>
          <w:color w:val="000000" w:themeColor="text1"/>
          <w:lang w:val="en-US"/>
        </w:rPr>
        <w:t xml:space="preserve">firstly </w:t>
      </w:r>
      <w:r w:rsidR="001F7309">
        <w:rPr>
          <w:rFonts w:ascii="Calibri" w:hAnsi="Calibri" w:cs="Calibri"/>
          <w:color w:val="000000" w:themeColor="text1"/>
          <w:lang w:val="en-US"/>
        </w:rPr>
        <w:t xml:space="preserve">to </w:t>
      </w:r>
      <w:r w:rsidR="00552D0B" w:rsidRPr="00552D0B">
        <w:rPr>
          <w:rFonts w:ascii="Times New Roman" w:hAnsi="Times New Roman" w:cs="Times New Roman"/>
          <w:color w:val="000000" w:themeColor="text1"/>
          <w:lang w:val="en-US"/>
        </w:rPr>
        <w:t>respo</w:t>
      </w:r>
      <w:r w:rsidR="001F7309">
        <w:rPr>
          <w:rFonts w:ascii="Times New Roman" w:hAnsi="Times New Roman" w:cs="Times New Roman"/>
          <w:color w:val="000000" w:themeColor="text1"/>
          <w:lang w:val="en-US"/>
        </w:rPr>
        <w:t xml:space="preserve">nd to various claims of </w:t>
      </w:r>
      <w:r w:rsidR="00552D0B" w:rsidRPr="00552D0B">
        <w:rPr>
          <w:rFonts w:ascii="Times New Roman" w:hAnsi="Times New Roman" w:cs="Times New Roman"/>
          <w:color w:val="000000" w:themeColor="text1"/>
          <w:lang w:val="en-US"/>
        </w:rPr>
        <w:t>the Queensland</w:t>
      </w:r>
      <w:r w:rsidR="00206EE6">
        <w:rPr>
          <w:rFonts w:ascii="Times New Roman" w:hAnsi="Times New Roman" w:cs="Times New Roman"/>
          <w:color w:val="000000" w:themeColor="text1"/>
          <w:lang w:val="en-US"/>
        </w:rPr>
        <w:t xml:space="preserve"> Studies Authority (QSA) and secondly</w:t>
      </w:r>
      <w:r w:rsidR="00552D0B" w:rsidRPr="00552D0B">
        <w:rPr>
          <w:rFonts w:ascii="Times New Roman" w:hAnsi="Times New Roman" w:cs="Times New Roman"/>
          <w:color w:val="000000" w:themeColor="text1"/>
          <w:lang w:val="en-US"/>
        </w:rPr>
        <w:t xml:space="preserve"> </w:t>
      </w:r>
      <w:r w:rsidR="001F7309">
        <w:rPr>
          <w:rFonts w:ascii="Times New Roman" w:hAnsi="Times New Roman" w:cs="Times New Roman"/>
          <w:color w:val="000000" w:themeColor="text1"/>
          <w:lang w:val="en-US"/>
        </w:rPr>
        <w:t xml:space="preserve">to </w:t>
      </w:r>
      <w:r w:rsidR="00552D0B" w:rsidRPr="00552D0B">
        <w:rPr>
          <w:rFonts w:ascii="Times New Roman" w:hAnsi="Times New Roman" w:cs="Times New Roman"/>
          <w:color w:val="000000" w:themeColor="text1"/>
          <w:lang w:val="en-US"/>
        </w:rPr>
        <w:t>make some concluding remarks, and hope our o</w:t>
      </w:r>
      <w:r w:rsidR="00206EE6">
        <w:rPr>
          <w:rFonts w:ascii="Times New Roman" w:hAnsi="Times New Roman" w:cs="Times New Roman"/>
          <w:color w:val="000000" w:themeColor="text1"/>
          <w:lang w:val="en-US"/>
        </w:rPr>
        <w:t xml:space="preserve">bservations will be of some use </w:t>
      </w:r>
      <w:r w:rsidR="00552D0B" w:rsidRPr="00552D0B">
        <w:rPr>
          <w:rFonts w:ascii="Times New Roman" w:hAnsi="Times New Roman" w:cs="Times New Roman"/>
          <w:color w:val="000000" w:themeColor="text1"/>
          <w:lang w:val="en-US"/>
        </w:rPr>
        <w:t>to the committee.</w:t>
      </w:r>
    </w:p>
    <w:p w:rsidR="00552D0B" w:rsidRPr="00552D0B" w:rsidRDefault="00552D0B" w:rsidP="00552D0B">
      <w:pPr>
        <w:widowControl w:val="0"/>
        <w:tabs>
          <w:tab w:val="left" w:pos="426"/>
        </w:tabs>
        <w:autoSpaceDE w:val="0"/>
        <w:autoSpaceDN w:val="0"/>
        <w:adjustRightInd w:val="0"/>
        <w:rPr>
          <w:rFonts w:ascii="Calibri" w:hAnsi="Calibri" w:cs="Calibri"/>
          <w:color w:val="000000" w:themeColor="text1"/>
          <w:lang w:val="en-US"/>
        </w:rPr>
      </w:pPr>
      <w:r w:rsidRPr="00552D0B">
        <w:rPr>
          <w:rFonts w:ascii="Times" w:hAnsi="Times" w:cs="Times"/>
          <w:b/>
          <w:bCs/>
          <w:color w:val="000000" w:themeColor="text1"/>
          <w:lang w:val="en-US"/>
        </w:rPr>
        <w:t>A response to QSA claims</w:t>
      </w:r>
    </w:p>
    <w:p w:rsidR="00552D0B" w:rsidRPr="00552D0B" w:rsidRDefault="00552D0B" w:rsidP="00552D0B">
      <w:pPr>
        <w:widowControl w:val="0"/>
        <w:autoSpaceDE w:val="0"/>
        <w:autoSpaceDN w:val="0"/>
        <w:adjustRightInd w:val="0"/>
        <w:rPr>
          <w:rFonts w:ascii="Times New Roman" w:hAnsi="Times New Roman" w:cs="Times New Roman"/>
          <w:color w:val="000000" w:themeColor="text1"/>
          <w:lang w:val="en-US"/>
        </w:rPr>
      </w:pPr>
      <w:r w:rsidRPr="00552D0B">
        <w:rPr>
          <w:rFonts w:ascii="Times New Roman" w:hAnsi="Times New Roman" w:cs="Times New Roman"/>
          <w:color w:val="000000" w:themeColor="text1"/>
          <w:lang w:val="en-US"/>
        </w:rPr>
        <w:t>A number of false and misleading claims have been made by the QSA during the course of this inquiry, some of which have gone unanswered. Our response to those claims is set out in</w:t>
      </w:r>
      <w:r>
        <w:rPr>
          <w:rFonts w:ascii="Times New Roman" w:hAnsi="Times New Roman" w:cs="Times New Roman"/>
          <w:color w:val="000000" w:themeColor="text1"/>
          <w:lang w:val="en-US"/>
        </w:rPr>
        <w:t xml:space="preserve"> Appendix A</w:t>
      </w:r>
      <w:r w:rsidRPr="00552D0B">
        <w:rPr>
          <w:rFonts w:ascii="Times New Roman" w:hAnsi="Times New Roman" w:cs="Times New Roman"/>
          <w:color w:val="000000" w:themeColor="text1"/>
          <w:lang w:val="en-US"/>
        </w:rPr>
        <w:t>.</w:t>
      </w:r>
    </w:p>
    <w:p w:rsidR="00552D0B" w:rsidRPr="00552D0B" w:rsidRDefault="00552D0B" w:rsidP="00552D0B">
      <w:pPr>
        <w:widowControl w:val="0"/>
        <w:autoSpaceDE w:val="0"/>
        <w:autoSpaceDN w:val="0"/>
        <w:adjustRightInd w:val="0"/>
        <w:rPr>
          <w:rFonts w:ascii="Times" w:hAnsi="Times" w:cs="Times"/>
          <w:b/>
          <w:bCs/>
          <w:color w:val="000000" w:themeColor="text1"/>
          <w:lang w:val="en-US"/>
        </w:rPr>
      </w:pPr>
      <w:r w:rsidRPr="00552D0B">
        <w:rPr>
          <w:rFonts w:ascii="Times" w:hAnsi="Times" w:cs="Times"/>
          <w:b/>
          <w:bCs/>
          <w:color w:val="000000" w:themeColor="text1"/>
          <w:lang w:val="en-US"/>
        </w:rPr>
        <w:t>Concluding remarks</w:t>
      </w:r>
    </w:p>
    <w:p w:rsidR="00552D0B" w:rsidRPr="00552D0B" w:rsidRDefault="00552D0B" w:rsidP="00552D0B">
      <w:pPr>
        <w:widowControl w:val="0"/>
        <w:autoSpaceDE w:val="0"/>
        <w:autoSpaceDN w:val="0"/>
        <w:adjustRightInd w:val="0"/>
        <w:rPr>
          <w:rFonts w:ascii="Times New Roman" w:hAnsi="Times New Roman" w:cs="Times New Roman"/>
          <w:color w:val="000000" w:themeColor="text1"/>
          <w:lang w:val="en-US"/>
        </w:rPr>
      </w:pPr>
      <w:r w:rsidRPr="00552D0B">
        <w:rPr>
          <w:rFonts w:ascii="Times New Roman" w:hAnsi="Times New Roman" w:cs="Times New Roman"/>
          <w:color w:val="000000" w:themeColor="text1"/>
          <w:lang w:val="en-US"/>
        </w:rPr>
        <w:t xml:space="preserve">It is now evident that the QSA methods of assessment are </w:t>
      </w:r>
      <w:r w:rsidRPr="00037498">
        <w:rPr>
          <w:rFonts w:ascii="Times New Roman" w:hAnsi="Times New Roman" w:cs="Times New Roman"/>
          <w:bCs/>
          <w:color w:val="000000" w:themeColor="text1"/>
          <w:lang w:val="en-US"/>
        </w:rPr>
        <w:t>radical and almost unique in the world</w:t>
      </w:r>
      <w:r w:rsidRPr="00552D0B">
        <w:rPr>
          <w:rFonts w:ascii="Times New Roman" w:hAnsi="Times New Roman" w:cs="Times New Roman"/>
          <w:color w:val="000000" w:themeColor="text1"/>
          <w:lang w:val="en-US"/>
        </w:rPr>
        <w:t>. This would not necessarily be a problem if there were evidence that the system performs at least as</w:t>
      </w:r>
      <w:r w:rsidR="001F7309">
        <w:rPr>
          <w:rFonts w:ascii="Times New Roman" w:hAnsi="Times New Roman" w:cs="Times New Roman"/>
          <w:color w:val="000000" w:themeColor="text1"/>
          <w:lang w:val="en-US"/>
        </w:rPr>
        <w:t xml:space="preserve"> well as good </w:t>
      </w:r>
      <w:r w:rsidRPr="00552D0B">
        <w:rPr>
          <w:rFonts w:ascii="Times New Roman" w:hAnsi="Times New Roman" w:cs="Times New Roman"/>
          <w:color w:val="000000" w:themeColor="text1"/>
          <w:lang w:val="en-US"/>
        </w:rPr>
        <w:t>education systems</w:t>
      </w:r>
      <w:r w:rsidR="001F7309">
        <w:rPr>
          <w:rFonts w:ascii="Times New Roman" w:hAnsi="Times New Roman" w:cs="Times New Roman"/>
          <w:color w:val="000000" w:themeColor="text1"/>
          <w:lang w:val="en-US"/>
        </w:rPr>
        <w:t xml:space="preserve"> in other jurisdictions</w:t>
      </w:r>
      <w:r w:rsidRPr="00552D0B">
        <w:rPr>
          <w:rFonts w:ascii="Times New Roman" w:hAnsi="Times New Roman" w:cs="Times New Roman"/>
          <w:color w:val="000000" w:themeColor="text1"/>
          <w:lang w:val="en-US"/>
        </w:rPr>
        <w:t xml:space="preserve">. The onus of proof however is upon the QSA to demonstrate this, but the QSA failed the Inquiry in this regard. </w:t>
      </w:r>
    </w:p>
    <w:p w:rsidR="00552D0B" w:rsidRPr="00552D0B" w:rsidRDefault="00552D0B" w:rsidP="00552D0B">
      <w:pPr>
        <w:widowControl w:val="0"/>
        <w:autoSpaceDE w:val="0"/>
        <w:autoSpaceDN w:val="0"/>
        <w:adjustRightInd w:val="0"/>
        <w:rPr>
          <w:rFonts w:ascii="Calibri" w:hAnsi="Calibri" w:cs="Calibri"/>
          <w:color w:val="000000" w:themeColor="text1"/>
          <w:lang w:val="en-US"/>
        </w:rPr>
      </w:pPr>
      <w:r w:rsidRPr="00552D0B">
        <w:rPr>
          <w:rFonts w:ascii="Times New Roman" w:hAnsi="Times New Roman" w:cs="Times New Roman"/>
          <w:color w:val="000000" w:themeColor="text1"/>
          <w:lang w:val="en-US"/>
        </w:rPr>
        <w:t>Instead considerable evidence was presented by parents, teachers and university discipline academics that indicated that the QSA’s assessment systems are -</w:t>
      </w:r>
    </w:p>
    <w:p w:rsidR="00552D0B" w:rsidRPr="00552D0B" w:rsidRDefault="00552D0B" w:rsidP="00552D0B">
      <w:pPr>
        <w:pStyle w:val="ListParagraph"/>
        <w:widowControl w:val="0"/>
        <w:numPr>
          <w:ilvl w:val="0"/>
          <w:numId w:val="4"/>
        </w:numPr>
        <w:autoSpaceDE w:val="0"/>
        <w:autoSpaceDN w:val="0"/>
        <w:adjustRightInd w:val="0"/>
        <w:rPr>
          <w:rFonts w:ascii="Calibri" w:hAnsi="Calibri" w:cs="Calibri"/>
          <w:color w:val="000000" w:themeColor="text1"/>
          <w:lang w:val="en-US"/>
        </w:rPr>
      </w:pPr>
      <w:r w:rsidRPr="00552D0B">
        <w:rPr>
          <w:rFonts w:ascii="Times New Roman" w:hAnsi="Times New Roman" w:cs="Times New Roman"/>
          <w:color w:val="000000" w:themeColor="text1"/>
          <w:lang w:val="en-US"/>
        </w:rPr>
        <w:t>unreliable, over-complicated, and difficult or impossible to understand,</w:t>
      </w:r>
    </w:p>
    <w:p w:rsidR="00552D0B" w:rsidRPr="00552D0B" w:rsidRDefault="00552D0B" w:rsidP="00552D0B">
      <w:pPr>
        <w:pStyle w:val="ListParagraph"/>
        <w:widowControl w:val="0"/>
        <w:numPr>
          <w:ilvl w:val="0"/>
          <w:numId w:val="4"/>
        </w:numPr>
        <w:autoSpaceDE w:val="0"/>
        <w:autoSpaceDN w:val="0"/>
        <w:adjustRightInd w:val="0"/>
        <w:rPr>
          <w:rFonts w:ascii="Calibri" w:hAnsi="Calibri" w:cs="Calibri"/>
          <w:color w:val="000000" w:themeColor="text1"/>
          <w:lang w:val="en-US"/>
        </w:rPr>
      </w:pPr>
      <w:r w:rsidRPr="00552D0B">
        <w:rPr>
          <w:rFonts w:ascii="Times New Roman" w:hAnsi="Times New Roman" w:cs="Times New Roman"/>
          <w:color w:val="000000" w:themeColor="text1"/>
          <w:lang w:val="en-US"/>
        </w:rPr>
        <w:t>open to cheating,</w:t>
      </w:r>
    </w:p>
    <w:p w:rsidR="00552D0B" w:rsidRPr="00552D0B" w:rsidRDefault="00552D0B" w:rsidP="00552D0B">
      <w:pPr>
        <w:pStyle w:val="ListParagraph"/>
        <w:widowControl w:val="0"/>
        <w:numPr>
          <w:ilvl w:val="0"/>
          <w:numId w:val="4"/>
        </w:numPr>
        <w:autoSpaceDE w:val="0"/>
        <w:autoSpaceDN w:val="0"/>
        <w:adjustRightInd w:val="0"/>
        <w:rPr>
          <w:rFonts w:ascii="Calibri" w:hAnsi="Calibri" w:cs="Calibri"/>
          <w:color w:val="000000" w:themeColor="text1"/>
          <w:lang w:val="en-US"/>
        </w:rPr>
      </w:pPr>
      <w:r w:rsidRPr="00552D0B">
        <w:rPr>
          <w:rFonts w:ascii="Times New Roman" w:hAnsi="Times New Roman" w:cs="Times New Roman"/>
          <w:color w:val="000000" w:themeColor="text1"/>
          <w:lang w:val="en-US"/>
        </w:rPr>
        <w:t>excessively inefficient and time consuming for both students and teachers,</w:t>
      </w:r>
    </w:p>
    <w:p w:rsidR="00552D0B" w:rsidRPr="00552D0B" w:rsidRDefault="00552D0B" w:rsidP="00552D0B">
      <w:pPr>
        <w:pStyle w:val="ListParagraph"/>
        <w:widowControl w:val="0"/>
        <w:numPr>
          <w:ilvl w:val="0"/>
          <w:numId w:val="4"/>
        </w:numPr>
        <w:autoSpaceDE w:val="0"/>
        <w:autoSpaceDN w:val="0"/>
        <w:adjustRightInd w:val="0"/>
        <w:rPr>
          <w:rFonts w:ascii="Calibri" w:hAnsi="Calibri" w:cs="Calibri"/>
          <w:color w:val="000000" w:themeColor="text1"/>
          <w:lang w:val="en-US"/>
        </w:rPr>
      </w:pPr>
      <w:r w:rsidRPr="00552D0B">
        <w:rPr>
          <w:rFonts w:ascii="Times New Roman" w:hAnsi="Times New Roman" w:cs="Times New Roman"/>
          <w:color w:val="000000" w:themeColor="text1"/>
          <w:lang w:val="en-US"/>
        </w:rPr>
        <w:t>discriminatory against boys,</w:t>
      </w:r>
    </w:p>
    <w:p w:rsidR="00552D0B" w:rsidRPr="00552D0B" w:rsidRDefault="00552D0B" w:rsidP="00552D0B">
      <w:pPr>
        <w:pStyle w:val="ListParagraph"/>
        <w:widowControl w:val="0"/>
        <w:numPr>
          <w:ilvl w:val="0"/>
          <w:numId w:val="4"/>
        </w:numPr>
        <w:autoSpaceDE w:val="0"/>
        <w:autoSpaceDN w:val="0"/>
        <w:adjustRightInd w:val="0"/>
        <w:rPr>
          <w:rFonts w:ascii="Calibri" w:hAnsi="Calibri" w:cs="Calibri"/>
          <w:color w:val="000000" w:themeColor="text1"/>
          <w:lang w:val="en-US"/>
        </w:rPr>
      </w:pPr>
      <w:r w:rsidRPr="00552D0B">
        <w:rPr>
          <w:rFonts w:ascii="Times New Roman" w:hAnsi="Times New Roman" w:cs="Times New Roman"/>
          <w:color w:val="000000" w:themeColor="text1"/>
          <w:lang w:val="en-US"/>
        </w:rPr>
        <w:t>disadvantageous to rural/remote schools</w:t>
      </w:r>
      <w:r w:rsidR="00774649" w:rsidRPr="00552D0B">
        <w:rPr>
          <w:rFonts w:ascii="Times New Roman" w:hAnsi="Times New Roman" w:cs="Times New Roman"/>
          <w:color w:val="000000" w:themeColor="text1"/>
          <w:lang w:val="en-US"/>
        </w:rPr>
        <w:t>, schools</w:t>
      </w:r>
      <w:r w:rsidRPr="00552D0B">
        <w:rPr>
          <w:rFonts w:ascii="Times New Roman" w:hAnsi="Times New Roman" w:cs="Times New Roman"/>
          <w:color w:val="000000" w:themeColor="text1"/>
          <w:lang w:val="en-US"/>
        </w:rPr>
        <w:t xml:space="preserve"> in lower socio-economic areas and schools with a high proportion of students from non-English speaking backgrounds.</w:t>
      </w:r>
    </w:p>
    <w:p w:rsidR="00552D0B" w:rsidRPr="00552D0B" w:rsidRDefault="00552D0B" w:rsidP="00552D0B">
      <w:pPr>
        <w:widowControl w:val="0"/>
        <w:autoSpaceDE w:val="0"/>
        <w:autoSpaceDN w:val="0"/>
        <w:adjustRightInd w:val="0"/>
        <w:rPr>
          <w:rFonts w:ascii="Calibri" w:hAnsi="Calibri" w:cs="Calibri"/>
          <w:color w:val="000000" w:themeColor="text1"/>
          <w:lang w:val="en-US"/>
        </w:rPr>
      </w:pPr>
      <w:r w:rsidRPr="00552D0B">
        <w:rPr>
          <w:rFonts w:ascii="Times New Roman" w:hAnsi="Times New Roman" w:cs="Times New Roman"/>
          <w:color w:val="000000" w:themeColor="text1"/>
          <w:lang w:val="en-US"/>
        </w:rPr>
        <w:t>The QSA has</w:t>
      </w:r>
      <w:r w:rsidRPr="00552D0B">
        <w:rPr>
          <w:rFonts w:ascii="Times New Roman" w:hAnsi="Times New Roman" w:cs="Times New Roman"/>
          <w:b/>
          <w:bCs/>
          <w:color w:val="000000" w:themeColor="text1"/>
          <w:lang w:val="en-US"/>
        </w:rPr>
        <w:t xml:space="preserve"> </w:t>
      </w:r>
      <w:r w:rsidRPr="00A53724">
        <w:rPr>
          <w:rFonts w:ascii="Times New Roman" w:hAnsi="Times New Roman" w:cs="Times New Roman"/>
          <w:bCs/>
          <w:color w:val="000000" w:themeColor="text1"/>
          <w:lang w:val="en-US"/>
        </w:rPr>
        <w:t>redefined and impoverished Maths, Physics and Chemistry</w:t>
      </w:r>
      <w:r w:rsidRPr="00A53724">
        <w:rPr>
          <w:rFonts w:ascii="Times New Roman" w:hAnsi="Times New Roman" w:cs="Times New Roman"/>
          <w:color w:val="000000" w:themeColor="text1"/>
          <w:lang w:val="en-US"/>
        </w:rPr>
        <w:t xml:space="preserve"> by</w:t>
      </w:r>
      <w:r w:rsidRPr="00552D0B">
        <w:rPr>
          <w:rFonts w:ascii="Times New Roman" w:hAnsi="Times New Roman" w:cs="Times New Roman"/>
          <w:color w:val="000000" w:themeColor="text1"/>
          <w:lang w:val="en-US"/>
        </w:rPr>
        <w:t xml:space="preserve"> over-assessing capabilities which are marginally related to these subjects, e.g. the overuse of writing tasks. These methods are no doubt in large part responsible for the widely acknowledged decline in maths/science standards of Year 12 students entering Queensland universities, as attested to in numerous testimonies from university discipline academics – see</w:t>
      </w:r>
      <w:r>
        <w:rPr>
          <w:rFonts w:ascii="Times New Roman" w:hAnsi="Times New Roman" w:cs="Times New Roman"/>
          <w:color w:val="000000" w:themeColor="text1"/>
          <w:lang w:val="en-US"/>
        </w:rPr>
        <w:t xml:space="preserve"> Appendix B</w:t>
      </w:r>
      <w:r w:rsidRPr="00552D0B">
        <w:rPr>
          <w:rFonts w:ascii="Times New Roman" w:hAnsi="Times New Roman" w:cs="Times New Roman"/>
          <w:color w:val="000000" w:themeColor="text1"/>
          <w:lang w:val="en-US"/>
        </w:rPr>
        <w:t>.</w:t>
      </w:r>
    </w:p>
    <w:p w:rsidR="00552D0B" w:rsidRPr="00552D0B" w:rsidRDefault="00552D0B" w:rsidP="00552D0B">
      <w:pPr>
        <w:widowControl w:val="0"/>
        <w:autoSpaceDE w:val="0"/>
        <w:autoSpaceDN w:val="0"/>
        <w:adjustRightInd w:val="0"/>
        <w:rPr>
          <w:rFonts w:ascii="Times New Roman" w:hAnsi="Times New Roman" w:cs="Times New Roman"/>
          <w:color w:val="000000" w:themeColor="text1"/>
          <w:lang w:val="en-US"/>
        </w:rPr>
      </w:pPr>
      <w:r w:rsidRPr="00552D0B">
        <w:rPr>
          <w:rFonts w:ascii="Times New Roman" w:hAnsi="Times New Roman" w:cs="Times New Roman"/>
          <w:color w:val="000000" w:themeColor="text1"/>
          <w:lang w:val="en-US"/>
        </w:rPr>
        <w:lastRenderedPageBreak/>
        <w:t xml:space="preserve">On the positive side the introduction of Experimental Investigations in Chemistry and Physics is appreciated by many, however the </w:t>
      </w:r>
      <w:r w:rsidRPr="00A53724">
        <w:rPr>
          <w:rFonts w:ascii="Times New Roman" w:hAnsi="Times New Roman" w:cs="Times New Roman"/>
          <w:color w:val="000000" w:themeColor="text1"/>
          <w:lang w:val="en-US"/>
        </w:rPr>
        <w:t>implementation has been botched by the excessive length, and overemphasis of these tasks</w:t>
      </w:r>
      <w:r w:rsidR="00A53724" w:rsidRPr="00A53724">
        <w:rPr>
          <w:rFonts w:ascii="Times New Roman" w:hAnsi="Times New Roman" w:cs="Times New Roman"/>
        </w:rPr>
        <w:t xml:space="preserve"> in the overall assessment and on teaching time</w:t>
      </w:r>
      <w:r w:rsidRPr="00552D0B">
        <w:rPr>
          <w:rFonts w:ascii="Times New Roman" w:hAnsi="Times New Roman" w:cs="Times New Roman"/>
          <w:color w:val="000000" w:themeColor="text1"/>
          <w:lang w:val="en-US"/>
        </w:rPr>
        <w:t>.</w:t>
      </w:r>
    </w:p>
    <w:p w:rsidR="00552D0B" w:rsidRPr="00552D0B" w:rsidRDefault="00552D0B" w:rsidP="00552D0B">
      <w:pPr>
        <w:widowControl w:val="0"/>
        <w:autoSpaceDE w:val="0"/>
        <w:autoSpaceDN w:val="0"/>
        <w:adjustRightInd w:val="0"/>
        <w:rPr>
          <w:rFonts w:ascii="Times New Roman" w:hAnsi="Times New Roman" w:cs="Times New Roman"/>
          <w:color w:val="000000" w:themeColor="text1"/>
          <w:lang w:val="en-US"/>
        </w:rPr>
      </w:pPr>
      <w:r w:rsidRPr="00552D0B">
        <w:rPr>
          <w:rFonts w:ascii="Times New Roman" w:hAnsi="Times New Roman" w:cs="Times New Roman"/>
          <w:color w:val="000000" w:themeColor="text1"/>
          <w:lang w:val="en-US"/>
        </w:rPr>
        <w:t xml:space="preserve">The QSA attitude has been to keep its head in the sand and </w:t>
      </w:r>
      <w:r w:rsidRPr="00552D0B">
        <w:rPr>
          <w:rFonts w:ascii="Times New Roman" w:hAnsi="Times New Roman" w:cs="Times New Roman"/>
          <w:bCs/>
          <w:color w:val="000000" w:themeColor="text1"/>
          <w:lang w:val="en-US"/>
        </w:rPr>
        <w:t>dispute that there is anything amiss</w:t>
      </w:r>
      <w:r w:rsidRPr="00552D0B">
        <w:rPr>
          <w:rFonts w:ascii="Times New Roman" w:hAnsi="Times New Roman" w:cs="Times New Roman"/>
          <w:color w:val="000000" w:themeColor="text1"/>
          <w:lang w:val="en-US"/>
        </w:rPr>
        <w:t>. The closest that the QSA and its supporters have come to accepting that real problems exist is to claim that a little more professional development to train the teachers would have been useful</w:t>
      </w:r>
      <w:r w:rsidR="00515DE2">
        <w:rPr>
          <w:rFonts w:ascii="Times New Roman" w:hAnsi="Times New Roman" w:cs="Times New Roman"/>
          <w:color w:val="000000" w:themeColor="text1"/>
          <w:lang w:val="en-US"/>
        </w:rPr>
        <w:t xml:space="preserve">. This is not correct </w:t>
      </w:r>
      <w:r w:rsidR="00E07DB0">
        <w:rPr>
          <w:rFonts w:ascii="Times New Roman" w:hAnsi="Times New Roman" w:cs="Times New Roman"/>
          <w:color w:val="000000" w:themeColor="text1"/>
          <w:lang w:val="en-US"/>
        </w:rPr>
        <w:t xml:space="preserve">as no amount of training can make this system work. It also </w:t>
      </w:r>
      <w:r w:rsidR="00515DE2">
        <w:rPr>
          <w:rFonts w:ascii="Times New Roman" w:hAnsi="Times New Roman" w:cs="Times New Roman"/>
          <w:color w:val="000000" w:themeColor="text1"/>
          <w:lang w:val="en-US"/>
        </w:rPr>
        <w:t>implies</w:t>
      </w:r>
      <w:r w:rsidRPr="00552D0B">
        <w:rPr>
          <w:rFonts w:ascii="Times New Roman" w:hAnsi="Times New Roman" w:cs="Times New Roman"/>
          <w:color w:val="000000" w:themeColor="text1"/>
          <w:lang w:val="en-US"/>
        </w:rPr>
        <w:t xml:space="preserve"> that after 6 years of implementation, teachers are not clever enough to understand what they are supposed to do.</w:t>
      </w:r>
    </w:p>
    <w:p w:rsidR="00552D0B" w:rsidRPr="00552D0B" w:rsidRDefault="00552D0B" w:rsidP="00552D0B">
      <w:pPr>
        <w:widowControl w:val="0"/>
        <w:autoSpaceDE w:val="0"/>
        <w:autoSpaceDN w:val="0"/>
        <w:adjustRightInd w:val="0"/>
        <w:rPr>
          <w:rFonts w:ascii="Times New Roman" w:hAnsi="Times New Roman" w:cs="Times New Roman"/>
          <w:color w:val="000000" w:themeColor="text1"/>
          <w:lang w:val="en-US"/>
        </w:rPr>
      </w:pPr>
      <w:r w:rsidRPr="00552D0B">
        <w:rPr>
          <w:rFonts w:ascii="Times New Roman" w:hAnsi="Times New Roman" w:cs="Times New Roman"/>
          <w:color w:val="000000" w:themeColor="text1"/>
          <w:lang w:val="en-US"/>
        </w:rPr>
        <w:t>The QSA has also seriously misled the inquiry by claiming that its systems are nothing like the Western Australian system which was recently scrapped after the education minister was forced to resign.</w:t>
      </w:r>
    </w:p>
    <w:p w:rsidR="00552D0B" w:rsidRPr="00552D0B" w:rsidRDefault="00552D0B" w:rsidP="00552D0B">
      <w:pPr>
        <w:widowControl w:val="0"/>
        <w:autoSpaceDE w:val="0"/>
        <w:autoSpaceDN w:val="0"/>
        <w:adjustRightInd w:val="0"/>
        <w:rPr>
          <w:rFonts w:ascii="Times New Roman" w:hAnsi="Times New Roman" w:cs="Times New Roman"/>
          <w:color w:val="000000" w:themeColor="text1"/>
          <w:lang w:val="en-US"/>
        </w:rPr>
      </w:pPr>
      <w:r w:rsidRPr="00552D0B">
        <w:rPr>
          <w:rFonts w:ascii="Times New Roman" w:hAnsi="Times New Roman" w:cs="Times New Roman"/>
          <w:color w:val="000000" w:themeColor="text1"/>
          <w:lang w:val="en-US"/>
        </w:rPr>
        <w:t xml:space="preserve">There is clearly considerable </w:t>
      </w:r>
      <w:r w:rsidRPr="00552D0B">
        <w:rPr>
          <w:rFonts w:ascii="Times New Roman" w:hAnsi="Times New Roman" w:cs="Times New Roman"/>
          <w:bCs/>
          <w:color w:val="000000" w:themeColor="text1"/>
          <w:lang w:val="en-US"/>
        </w:rPr>
        <w:t>fear amongst teachers and parents</w:t>
      </w:r>
      <w:r w:rsidRPr="00552D0B">
        <w:rPr>
          <w:rFonts w:ascii="Times New Roman" w:hAnsi="Times New Roman" w:cs="Times New Roman"/>
          <w:color w:val="000000" w:themeColor="text1"/>
          <w:lang w:val="en-US"/>
        </w:rPr>
        <w:t xml:space="preserve"> judging by the most remarkable statistic from the inquiry, </w:t>
      </w:r>
      <w:r w:rsidRPr="00552D0B">
        <w:rPr>
          <w:rFonts w:ascii="Times New Roman" w:hAnsi="Times New Roman" w:cs="Times New Roman"/>
          <w:i/>
          <w:iCs/>
          <w:color w:val="000000" w:themeColor="text1"/>
          <w:lang w:val="en-US"/>
        </w:rPr>
        <w:t>viz.</w:t>
      </w:r>
      <w:r w:rsidR="00E07DB0">
        <w:rPr>
          <w:rFonts w:ascii="Times New Roman" w:hAnsi="Times New Roman" w:cs="Times New Roman"/>
          <w:color w:val="000000" w:themeColor="text1"/>
          <w:lang w:val="en-US"/>
        </w:rPr>
        <w:t xml:space="preserve"> 100% of the 73</w:t>
      </w:r>
      <w:r w:rsidRPr="00552D0B">
        <w:rPr>
          <w:rFonts w:ascii="Times New Roman" w:hAnsi="Times New Roman" w:cs="Times New Roman"/>
          <w:color w:val="000000" w:themeColor="text1"/>
          <w:lang w:val="en-US"/>
        </w:rPr>
        <w:t xml:space="preserve"> submissions with names suppressed were from authors who opposed the QSA.</w:t>
      </w:r>
    </w:p>
    <w:p w:rsidR="00552D0B" w:rsidRPr="00552D0B" w:rsidRDefault="00552D0B" w:rsidP="00552D0B">
      <w:pPr>
        <w:widowControl w:val="0"/>
        <w:autoSpaceDE w:val="0"/>
        <w:autoSpaceDN w:val="0"/>
        <w:adjustRightInd w:val="0"/>
        <w:rPr>
          <w:rFonts w:ascii="Times New Roman" w:hAnsi="Times New Roman" w:cs="Times New Roman"/>
          <w:color w:val="000000" w:themeColor="text1"/>
          <w:lang w:val="en-US"/>
        </w:rPr>
      </w:pPr>
      <w:r w:rsidRPr="00552D0B">
        <w:rPr>
          <w:rFonts w:ascii="Times New Roman" w:hAnsi="Times New Roman" w:cs="Times New Roman"/>
          <w:color w:val="000000" w:themeColor="text1"/>
          <w:lang w:val="en-US"/>
        </w:rPr>
        <w:t>In addition our submissions analysis detailed in</w:t>
      </w:r>
      <w:r>
        <w:rPr>
          <w:rFonts w:ascii="Times New Roman" w:hAnsi="Times New Roman" w:cs="Times New Roman"/>
          <w:color w:val="000000" w:themeColor="text1"/>
          <w:lang w:val="en-US"/>
        </w:rPr>
        <w:t xml:space="preserve"> Appendix C</w:t>
      </w:r>
      <w:r w:rsidRPr="00552D0B">
        <w:rPr>
          <w:rFonts w:ascii="Times New Roman" w:hAnsi="Times New Roman" w:cs="Times New Roman"/>
          <w:color w:val="000000" w:themeColor="text1"/>
          <w:lang w:val="en-US"/>
        </w:rPr>
        <w:t xml:space="preserve"> shows that the only group where the QSA found any significant support was from </w:t>
      </w:r>
      <w:r w:rsidRPr="00552D0B">
        <w:rPr>
          <w:rFonts w:ascii="Times New Roman" w:hAnsi="Times New Roman" w:cs="Times New Roman"/>
          <w:bCs/>
          <w:color w:val="000000" w:themeColor="text1"/>
          <w:lang w:val="en-US"/>
        </w:rPr>
        <w:t>the education hierarchy</w:t>
      </w:r>
      <w:r w:rsidRPr="00552D0B">
        <w:rPr>
          <w:rFonts w:ascii="Times New Roman" w:hAnsi="Times New Roman" w:cs="Times New Roman"/>
          <w:color w:val="000000" w:themeColor="text1"/>
          <w:lang w:val="en-US"/>
        </w:rPr>
        <w:t xml:space="preserve"> - teacher’s organisations, teachers in positions of authority, and education academics at universities. This loose group of like-minded and self-selecting educationalists have controlled Queensland education for too long without, until now, being subject to any scrutiny. They are out of touch with the expectations of the general community.</w:t>
      </w:r>
    </w:p>
    <w:p w:rsidR="00552D0B" w:rsidRPr="00552D0B" w:rsidRDefault="00552D0B" w:rsidP="00552D0B">
      <w:pPr>
        <w:widowControl w:val="0"/>
        <w:autoSpaceDE w:val="0"/>
        <w:autoSpaceDN w:val="0"/>
        <w:adjustRightInd w:val="0"/>
        <w:rPr>
          <w:rFonts w:ascii="Times" w:hAnsi="Times" w:cs="Times"/>
          <w:color w:val="000000" w:themeColor="text1"/>
          <w:lang w:val="en-US"/>
        </w:rPr>
      </w:pPr>
      <w:r w:rsidRPr="00552D0B">
        <w:rPr>
          <w:rFonts w:ascii="Times New Roman" w:hAnsi="Times New Roman" w:cs="Times New Roman"/>
          <w:color w:val="000000" w:themeColor="text1"/>
          <w:lang w:val="en-US"/>
        </w:rPr>
        <w:t>Because the issue of assessment is merely a symptom of a much broader malaise within the Queensland educati</w:t>
      </w:r>
      <w:r w:rsidR="00A53724">
        <w:rPr>
          <w:rFonts w:ascii="Times New Roman" w:hAnsi="Times New Roman" w:cs="Times New Roman"/>
          <w:color w:val="000000" w:themeColor="text1"/>
          <w:lang w:val="en-US"/>
        </w:rPr>
        <w:t>on hierarchy, the committee may</w:t>
      </w:r>
      <w:r w:rsidRPr="00552D0B">
        <w:rPr>
          <w:rFonts w:ascii="Times New Roman" w:hAnsi="Times New Roman" w:cs="Times New Roman"/>
          <w:color w:val="000000" w:themeColor="text1"/>
          <w:lang w:val="en-US"/>
        </w:rPr>
        <w:t xml:space="preserve"> have a difficult task deciding what to do. A first step however to restoring Queensland schools to international standards must be to </w:t>
      </w:r>
      <w:r w:rsidRPr="00552D0B">
        <w:rPr>
          <w:rFonts w:ascii="Times New Roman" w:hAnsi="Times New Roman" w:cs="Times New Roman"/>
          <w:b/>
          <w:bCs/>
          <w:color w:val="000000" w:themeColor="text1"/>
          <w:lang w:val="en-US"/>
        </w:rPr>
        <w:t>abolish the QSA and form a new organisation</w:t>
      </w:r>
      <w:r w:rsidRPr="00552D0B">
        <w:rPr>
          <w:rFonts w:ascii="Times New Roman" w:hAnsi="Times New Roman" w:cs="Times New Roman"/>
          <w:color w:val="000000" w:themeColor="text1"/>
          <w:lang w:val="en-US"/>
        </w:rPr>
        <w:t xml:space="preserve"> which is properly responsible to parliament and the education minister. In any case, with the introduction of the national curriculu</w:t>
      </w:r>
      <w:r w:rsidRPr="00552D0B">
        <w:rPr>
          <w:rFonts w:ascii="Times" w:hAnsi="Times" w:cs="Times"/>
          <w:color w:val="000000" w:themeColor="text1"/>
          <w:lang w:val="en-US"/>
        </w:rPr>
        <w:t>m, at least half of the function of the QSA has been removed and thus major restructuring is inevitable.</w:t>
      </w:r>
    </w:p>
    <w:p w:rsidR="00552D0B" w:rsidRPr="00552D0B" w:rsidRDefault="00552D0B" w:rsidP="00552D0B">
      <w:pPr>
        <w:widowControl w:val="0"/>
        <w:autoSpaceDE w:val="0"/>
        <w:autoSpaceDN w:val="0"/>
        <w:adjustRightInd w:val="0"/>
        <w:rPr>
          <w:rFonts w:ascii="Calibri" w:hAnsi="Calibri" w:cs="Calibri"/>
          <w:color w:val="000000" w:themeColor="text1"/>
          <w:lang w:val="en-US"/>
        </w:rPr>
      </w:pPr>
      <w:r w:rsidRPr="00552D0B">
        <w:rPr>
          <w:rFonts w:ascii="Times" w:hAnsi="Times" w:cs="Times"/>
          <w:color w:val="000000" w:themeColor="text1"/>
          <w:lang w:val="en-US"/>
        </w:rPr>
        <w:t>To conclude, we commend the Inquiry on its remarkable success in opening up the debate on this issue and for finally allowing the voices to be heard of teachers, parents and academics who have serious and valid concerns about our education system. For that we are deeply grateful.</w:t>
      </w:r>
    </w:p>
    <w:p w:rsidR="00552D0B" w:rsidRPr="00552D0B" w:rsidRDefault="00552D0B" w:rsidP="00552D0B">
      <w:pPr>
        <w:widowControl w:val="0"/>
        <w:autoSpaceDE w:val="0"/>
        <w:autoSpaceDN w:val="0"/>
        <w:adjustRightInd w:val="0"/>
        <w:rPr>
          <w:rFonts w:ascii="Calibri" w:hAnsi="Calibri" w:cs="Calibri"/>
          <w:color w:val="000000" w:themeColor="text1"/>
          <w:lang w:val="en-US"/>
        </w:rPr>
      </w:pPr>
      <w:r w:rsidRPr="00552D0B">
        <w:rPr>
          <w:rFonts w:ascii="Times" w:hAnsi="Times" w:cs="Times"/>
          <w:color w:val="000000" w:themeColor="text1"/>
          <w:lang w:val="en-US"/>
        </w:rPr>
        <w:t>We wish you the best in your deliberations. </w:t>
      </w:r>
    </w:p>
    <w:p w:rsidR="00552D0B" w:rsidRPr="00552D0B" w:rsidRDefault="00552D0B" w:rsidP="00552D0B">
      <w:pPr>
        <w:widowControl w:val="0"/>
        <w:autoSpaceDE w:val="0"/>
        <w:autoSpaceDN w:val="0"/>
        <w:adjustRightInd w:val="0"/>
        <w:rPr>
          <w:rFonts w:ascii="Calibri" w:hAnsi="Calibri" w:cs="Calibri"/>
          <w:color w:val="000000" w:themeColor="text1"/>
          <w:lang w:val="en-US"/>
        </w:rPr>
      </w:pPr>
      <w:r w:rsidRPr="00552D0B">
        <w:rPr>
          <w:rFonts w:ascii="Times" w:hAnsi="Times" w:cs="Times"/>
          <w:color w:val="000000" w:themeColor="text1"/>
          <w:lang w:val="en-US"/>
        </w:rPr>
        <w:t>Your</w:t>
      </w:r>
      <w:r w:rsidR="00A53724">
        <w:rPr>
          <w:rFonts w:ascii="Times" w:hAnsi="Times" w:cs="Times"/>
          <w:color w:val="000000" w:themeColor="text1"/>
          <w:lang w:val="en-US"/>
        </w:rPr>
        <w:t>s</w:t>
      </w:r>
      <w:r w:rsidRPr="00552D0B">
        <w:rPr>
          <w:rFonts w:ascii="Times" w:hAnsi="Times" w:cs="Times"/>
          <w:color w:val="000000" w:themeColor="text1"/>
          <w:lang w:val="en-US"/>
        </w:rPr>
        <w:t xml:space="preserve"> faithfully</w:t>
      </w:r>
    </w:p>
    <w:p w:rsidR="00552D0B" w:rsidRPr="00552D0B" w:rsidRDefault="00037498" w:rsidP="00552D0B">
      <w:pPr>
        <w:widowControl w:val="0"/>
        <w:autoSpaceDE w:val="0"/>
        <w:autoSpaceDN w:val="0"/>
        <w:adjustRightInd w:val="0"/>
        <w:rPr>
          <w:rFonts w:ascii="Calibri" w:hAnsi="Calibri" w:cs="Calibri"/>
          <w:color w:val="000000" w:themeColor="text1"/>
          <w:lang w:val="en-US"/>
        </w:rPr>
      </w:pPr>
      <w:r w:rsidRPr="00037498">
        <w:rPr>
          <w:rFonts w:ascii="Times" w:hAnsi="Times" w:cs="Times"/>
          <w:noProof/>
          <w:color w:val="000000" w:themeColor="text1"/>
          <w:lang w:eastAsia="en-AU"/>
        </w:rPr>
        <w:drawing>
          <wp:inline distT="0" distB="0" distL="0" distR="0">
            <wp:extent cx="2068830" cy="494545"/>
            <wp:effectExtent l="19050" t="0" r="762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rot="10800000">
                      <a:off x="0" y="0"/>
                      <a:ext cx="2071989" cy="495300"/>
                    </a:xfrm>
                    <a:prstGeom prst="rect">
                      <a:avLst/>
                    </a:prstGeom>
                    <a:noFill/>
                    <a:ln w="9525">
                      <a:noFill/>
                      <a:miter lim="800000"/>
                      <a:headEnd/>
                      <a:tailEnd/>
                    </a:ln>
                  </pic:spPr>
                </pic:pic>
              </a:graphicData>
            </a:graphic>
          </wp:inline>
        </w:drawing>
      </w:r>
      <w:r>
        <w:rPr>
          <w:rFonts w:ascii="Times" w:hAnsi="Times" w:cs="Times"/>
          <w:color w:val="000000" w:themeColor="text1"/>
          <w:lang w:val="en-US"/>
        </w:rPr>
        <w:tab/>
      </w:r>
      <w:r>
        <w:rPr>
          <w:rFonts w:ascii="Times" w:hAnsi="Times" w:cs="Times"/>
          <w:color w:val="000000" w:themeColor="text1"/>
          <w:lang w:val="en-US"/>
        </w:rPr>
        <w:tab/>
      </w:r>
      <w:r>
        <w:rPr>
          <w:rFonts w:ascii="Times" w:hAnsi="Times" w:cs="Times"/>
          <w:color w:val="000000" w:themeColor="text1"/>
          <w:lang w:val="en-US"/>
        </w:rPr>
        <w:tab/>
      </w:r>
      <w:r>
        <w:rPr>
          <w:rFonts w:ascii="Times" w:hAnsi="Times" w:cs="Times"/>
          <w:color w:val="000000" w:themeColor="text1"/>
          <w:lang w:val="en-US"/>
        </w:rPr>
        <w:tab/>
      </w:r>
      <w:r>
        <w:rPr>
          <w:rFonts w:ascii="Calibri" w:hAnsi="Calibri" w:cs="Calibri"/>
          <w:noProof/>
          <w:color w:val="000000" w:themeColor="text1"/>
          <w:lang w:eastAsia="en-AU"/>
        </w:rPr>
        <w:drawing>
          <wp:inline distT="0" distB="0" distL="0" distR="0">
            <wp:extent cx="1730071" cy="556591"/>
            <wp:effectExtent l="19050" t="0" r="3479" b="0"/>
            <wp:docPr id="6" name="Picture 5" descr="MD 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 Signature (1).jpg"/>
                    <pic:cNvPicPr/>
                  </pic:nvPicPr>
                  <pic:blipFill>
                    <a:blip r:embed="rId10"/>
                    <a:stretch>
                      <a:fillRect/>
                    </a:stretch>
                  </pic:blipFill>
                  <pic:spPr>
                    <a:xfrm>
                      <a:off x="0" y="0"/>
                      <a:ext cx="1731467" cy="557040"/>
                    </a:xfrm>
                    <a:prstGeom prst="rect">
                      <a:avLst/>
                    </a:prstGeom>
                  </pic:spPr>
                </pic:pic>
              </a:graphicData>
            </a:graphic>
          </wp:inline>
        </w:drawing>
      </w:r>
    </w:p>
    <w:p w:rsidR="00552D0B" w:rsidRPr="00552D0B" w:rsidRDefault="00552D0B" w:rsidP="00552D0B">
      <w:pPr>
        <w:widowControl w:val="0"/>
        <w:autoSpaceDE w:val="0"/>
        <w:autoSpaceDN w:val="0"/>
        <w:adjustRightInd w:val="0"/>
        <w:rPr>
          <w:rFonts w:ascii="Calibri" w:hAnsi="Calibri" w:cs="Calibri"/>
          <w:color w:val="000000" w:themeColor="text1"/>
          <w:lang w:val="en-US"/>
        </w:rPr>
      </w:pPr>
      <w:r w:rsidRPr="00552D0B">
        <w:rPr>
          <w:rFonts w:ascii="Times" w:hAnsi="Times" w:cs="Times"/>
          <w:color w:val="000000" w:themeColor="text1"/>
          <w:lang w:val="en-US"/>
        </w:rPr>
        <w:t>Prof  Peter Ridd</w:t>
      </w:r>
      <w:r w:rsidRPr="00552D0B">
        <w:rPr>
          <w:rFonts w:ascii="Times" w:hAnsi="Times" w:cs="Times"/>
          <w:color w:val="000000" w:themeColor="text1"/>
          <w:lang w:val="en-US"/>
        </w:rPr>
        <w:tab/>
      </w:r>
      <w:r w:rsidRPr="00552D0B">
        <w:rPr>
          <w:rFonts w:ascii="Times" w:hAnsi="Times" w:cs="Times"/>
          <w:color w:val="000000" w:themeColor="text1"/>
          <w:lang w:val="en-US"/>
        </w:rPr>
        <w:tab/>
      </w:r>
      <w:r w:rsidR="003B3513">
        <w:rPr>
          <w:rFonts w:ascii="Times" w:hAnsi="Times" w:cs="Times"/>
          <w:color w:val="000000" w:themeColor="text1"/>
          <w:lang w:val="en-US"/>
        </w:rPr>
        <w:t xml:space="preserve">with the assistance of </w:t>
      </w:r>
      <w:r w:rsidRPr="00552D0B">
        <w:rPr>
          <w:rFonts w:ascii="Times" w:hAnsi="Times" w:cs="Times"/>
          <w:color w:val="000000" w:themeColor="text1"/>
          <w:lang w:val="en-US"/>
        </w:rPr>
        <w:tab/>
      </w:r>
      <w:r w:rsidRPr="00552D0B">
        <w:rPr>
          <w:rFonts w:ascii="Times" w:hAnsi="Times" w:cs="Times"/>
          <w:color w:val="000000" w:themeColor="text1"/>
          <w:lang w:val="en-US"/>
        </w:rPr>
        <w:tab/>
      </w:r>
      <w:r w:rsidRPr="00552D0B">
        <w:rPr>
          <w:rFonts w:ascii="Times" w:hAnsi="Times" w:cs="Times"/>
          <w:color w:val="000000" w:themeColor="text1"/>
          <w:lang w:val="en-US"/>
        </w:rPr>
        <w:tab/>
      </w:r>
      <w:r w:rsidRPr="00552D0B">
        <w:rPr>
          <w:rFonts w:ascii="Times" w:hAnsi="Times" w:cs="Times"/>
          <w:color w:val="000000" w:themeColor="text1"/>
          <w:lang w:val="en-US"/>
        </w:rPr>
        <w:tab/>
      </w:r>
      <w:r w:rsidRPr="00552D0B">
        <w:rPr>
          <w:rFonts w:ascii="Times" w:hAnsi="Times" w:cs="Times"/>
          <w:color w:val="000000" w:themeColor="text1"/>
          <w:lang w:val="en-US"/>
        </w:rPr>
        <w:tab/>
        <w:t>Dr Matthew Dean</w:t>
      </w:r>
    </w:p>
    <w:p w:rsidR="00552D0B" w:rsidRPr="00552D0B" w:rsidRDefault="00552D0B" w:rsidP="00552D0B">
      <w:pPr>
        <w:widowControl w:val="0"/>
        <w:autoSpaceDE w:val="0"/>
        <w:autoSpaceDN w:val="0"/>
        <w:adjustRightInd w:val="0"/>
        <w:contextualSpacing/>
        <w:rPr>
          <w:rFonts w:ascii="Calibri" w:hAnsi="Calibri" w:cs="Calibri"/>
          <w:color w:val="000000" w:themeColor="text1"/>
          <w:lang w:val="en-US"/>
        </w:rPr>
      </w:pPr>
      <w:r w:rsidRPr="00552D0B">
        <w:rPr>
          <w:rFonts w:ascii="Times" w:hAnsi="Times" w:cs="Times"/>
          <w:color w:val="000000" w:themeColor="text1"/>
          <w:lang w:val="en-US"/>
        </w:rPr>
        <w:t>HOD Physics,</w:t>
      </w:r>
    </w:p>
    <w:p w:rsidR="006E2429" w:rsidRPr="00037498" w:rsidRDefault="00552D0B" w:rsidP="00037498">
      <w:pPr>
        <w:widowControl w:val="0"/>
        <w:autoSpaceDE w:val="0"/>
        <w:autoSpaceDN w:val="0"/>
        <w:adjustRightInd w:val="0"/>
        <w:contextualSpacing/>
        <w:rPr>
          <w:rFonts w:ascii="Calibri" w:hAnsi="Calibri" w:cs="Calibri"/>
          <w:color w:val="000000" w:themeColor="text1"/>
          <w:lang w:val="en-US"/>
        </w:rPr>
      </w:pPr>
      <w:r w:rsidRPr="00552D0B">
        <w:rPr>
          <w:rFonts w:ascii="Times" w:hAnsi="Times" w:cs="Times"/>
          <w:color w:val="000000" w:themeColor="text1"/>
          <w:lang w:val="en-US"/>
        </w:rPr>
        <w:t>School of Engineering and Physical Sciences, JCU</w:t>
      </w:r>
      <w:r w:rsidR="006E2429">
        <w:rPr>
          <w:rFonts w:ascii="Times New Roman" w:hAnsi="Times New Roman" w:cs="Times New Roman"/>
          <w:sz w:val="24"/>
          <w:szCs w:val="24"/>
        </w:rPr>
        <w:br w:type="page"/>
      </w:r>
    </w:p>
    <w:p w:rsidR="00037498" w:rsidRPr="00525534" w:rsidRDefault="00037498" w:rsidP="00037498">
      <w:pPr>
        <w:rPr>
          <w:rFonts w:ascii="Times New Roman" w:hAnsi="Times New Roman" w:cs="Times New Roman"/>
          <w:b/>
          <w:sz w:val="32"/>
          <w:szCs w:val="32"/>
          <w:u w:val="single"/>
          <w:lang w:eastAsia="en-AU"/>
        </w:rPr>
      </w:pPr>
      <w:r>
        <w:rPr>
          <w:rFonts w:ascii="Times New Roman" w:hAnsi="Times New Roman" w:cs="Times New Roman"/>
          <w:b/>
          <w:sz w:val="32"/>
          <w:szCs w:val="32"/>
          <w:u w:val="single"/>
          <w:lang w:eastAsia="en-AU"/>
        </w:rPr>
        <w:lastRenderedPageBreak/>
        <w:t>Appendix A</w:t>
      </w:r>
      <w:r w:rsidRPr="00525534">
        <w:rPr>
          <w:rFonts w:ascii="Times New Roman" w:hAnsi="Times New Roman" w:cs="Times New Roman"/>
          <w:b/>
          <w:sz w:val="32"/>
          <w:szCs w:val="32"/>
          <w:u w:val="single"/>
          <w:lang w:eastAsia="en-AU"/>
        </w:rPr>
        <w:t xml:space="preserve">. </w:t>
      </w:r>
    </w:p>
    <w:p w:rsidR="00037498" w:rsidRPr="0057755B" w:rsidRDefault="00037498" w:rsidP="00037498">
      <w:pPr>
        <w:rPr>
          <w:rFonts w:ascii="Times New Roman" w:hAnsi="Times New Roman" w:cs="Times New Roman"/>
          <w:b/>
          <w:sz w:val="32"/>
          <w:szCs w:val="32"/>
          <w:lang w:eastAsia="en-AU"/>
        </w:rPr>
      </w:pPr>
      <w:r w:rsidRPr="00525534">
        <w:rPr>
          <w:rFonts w:ascii="Times New Roman" w:hAnsi="Times New Roman" w:cs="Times New Roman"/>
          <w:b/>
          <w:sz w:val="24"/>
          <w:szCs w:val="24"/>
          <w:lang w:eastAsia="en-AU"/>
        </w:rPr>
        <w:t xml:space="preserve"> </w:t>
      </w:r>
      <w:r w:rsidRPr="0057755B">
        <w:rPr>
          <w:rFonts w:ascii="Times New Roman" w:hAnsi="Times New Roman" w:cs="Times New Roman"/>
          <w:b/>
          <w:sz w:val="32"/>
          <w:szCs w:val="32"/>
          <w:lang w:eastAsia="en-AU"/>
        </w:rPr>
        <w:t>A Selection of False and Misleading Claims made by QSA to Parliament, 7 March 2013</w:t>
      </w:r>
    </w:p>
    <w:p w:rsidR="00037498" w:rsidRPr="00525534" w:rsidRDefault="00037498" w:rsidP="00037498">
      <w:pPr>
        <w:rPr>
          <w:rFonts w:ascii="Times New Roman" w:hAnsi="Times New Roman" w:cs="Times New Roman"/>
          <w:b/>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t>False Claim 1</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"The assessment system we have in place in Queensland today has evolved over 40 years. It is not new and bears no relationship to the system of outcomes based education recently discarded in Western Australia."</w:t>
      </w:r>
      <w:r w:rsidRPr="00525534">
        <w:rPr>
          <w:rFonts w:ascii="Times New Roman" w:hAnsi="Times New Roman" w:cs="Times New Roman"/>
          <w:i/>
          <w:color w:val="000000" w:themeColor="text1"/>
          <w:sz w:val="24"/>
          <w:szCs w:val="24"/>
          <w:lang w:eastAsia="en-AU"/>
        </w:rPr>
        <w:tab/>
      </w:r>
    </w:p>
    <w:p w:rsidR="00037498" w:rsidRPr="00525534" w:rsidRDefault="00037498" w:rsidP="00037498">
      <w:pPr>
        <w:jc w:val="right"/>
        <w:rPr>
          <w:rFonts w:ascii="Times New Roman" w:hAnsi="Times New Roman" w:cs="Times New Roman"/>
          <w:color w:val="FF0000"/>
          <w:sz w:val="24"/>
          <w:szCs w:val="24"/>
          <w:lang w:eastAsia="en-AU"/>
        </w:rPr>
      </w:pPr>
      <w:r w:rsidRPr="00525534">
        <w:rPr>
          <w:rFonts w:ascii="Times New Roman" w:hAnsi="Times New Roman" w:cs="Times New Roman"/>
          <w:i/>
          <w:color w:val="000000" w:themeColor="text1"/>
          <w:sz w:val="24"/>
          <w:szCs w:val="24"/>
          <w:lang w:eastAsia="en-AU"/>
        </w:rPr>
        <w:t>- Mrs Walton, 7 March, page 2</w:t>
      </w:r>
    </w:p>
    <w:p w:rsidR="00037498" w:rsidRDefault="00037498" w:rsidP="00037498">
      <w:pPr>
        <w:rPr>
          <w:rFonts w:ascii="Times New Roman" w:hAnsi="Times New Roman" w:cs="Times New Roman"/>
          <w:color w:val="000000"/>
          <w:sz w:val="24"/>
          <w:szCs w:val="24"/>
        </w:rPr>
      </w:pPr>
    </w:p>
    <w:p w:rsidR="00037498" w:rsidRPr="00525534" w:rsidRDefault="00037498" w:rsidP="00037498">
      <w:pPr>
        <w:rPr>
          <w:rFonts w:ascii="Times New Roman" w:hAnsi="Times New Roman" w:cs="Times New Roman"/>
          <w:color w:val="000000"/>
          <w:sz w:val="24"/>
          <w:szCs w:val="24"/>
        </w:rPr>
      </w:pPr>
      <w:r w:rsidRPr="00525534">
        <w:rPr>
          <w:rFonts w:ascii="Times New Roman" w:hAnsi="Times New Roman" w:cs="Times New Roman"/>
          <w:color w:val="000000"/>
          <w:sz w:val="24"/>
          <w:szCs w:val="24"/>
        </w:rPr>
        <w:t>"The QSA is employing a trick of semantics to distance its system from the hated OBE system. One only has to look at the assessment matrix to realise it is very much influenced by outcomes based education. Both systems synthetically divide Mathematics into different components of learning. The QSA has three “criteria” (the word “outcome” can be used with the same meaning) which are assessed separately. They are “Knowledge and procedures”, “Modeling and problem solving”, and “Communication and justification”. OBE also divides assessment into the “outcomes” (or “criteria”) such as “Clarifying, choosing, using, checking and interpreting, and communicating”. Each is assessed separately, without numerical marks as is done in Queensland. Needless to say, both outcomes based education and Queensland’s assessments are the products of sociologists and psychologists, not mathematicians or empirical scientists. To divide human reasoning and assess components separately does not make sense. It goes against the epistemology of human thought processes."</w:t>
      </w:r>
    </w:p>
    <w:p w:rsidR="00037498" w:rsidRPr="00525534" w:rsidRDefault="00037498" w:rsidP="00037498">
      <w:pPr>
        <w:jc w:val="right"/>
        <w:rPr>
          <w:rFonts w:ascii="Times New Roman" w:hAnsi="Times New Roman" w:cs="Times New Roman"/>
          <w:b/>
          <w:sz w:val="24"/>
          <w:szCs w:val="24"/>
          <w:lang w:eastAsia="en-AU"/>
        </w:rPr>
      </w:pPr>
      <w:r w:rsidRPr="00525534">
        <w:rPr>
          <w:rFonts w:ascii="Times New Roman" w:hAnsi="Times New Roman" w:cs="Times New Roman"/>
          <w:color w:val="000000"/>
          <w:sz w:val="24"/>
          <w:szCs w:val="24"/>
        </w:rPr>
        <w:t>- submission 19</w:t>
      </w:r>
    </w:p>
    <w:p w:rsidR="00037498" w:rsidRPr="00525534" w:rsidRDefault="00037498" w:rsidP="00037498">
      <w:pPr>
        <w:rPr>
          <w:rFonts w:ascii="Times New Roman" w:hAnsi="Times New Roman" w:cs="Times New Roman"/>
          <w:b/>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t>Misleading Claim  2</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"The foundation of the current system that all assessment is school based has been in place for over four decades and has attracted the favourable attention of academics and educationalists internationally."</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xml:space="preserve"> - Mrs Walton, 7 March, page 3</w:t>
      </w:r>
    </w:p>
    <w:p w:rsidR="00037498" w:rsidRDefault="00037498" w:rsidP="00037498">
      <w:pPr>
        <w:rPr>
          <w:rFonts w:ascii="Times New Roman" w:hAnsi="Times New Roman" w:cs="Times New Roman"/>
          <w:color w:val="000000"/>
          <w:sz w:val="24"/>
          <w:szCs w:val="24"/>
          <w:lang w:eastAsia="en-AU"/>
        </w:rPr>
      </w:pPr>
    </w:p>
    <w:p w:rsidR="00037498" w:rsidRPr="00525534" w:rsidRDefault="00037498" w:rsidP="00037498">
      <w:pPr>
        <w:rPr>
          <w:rFonts w:ascii="Times New Roman" w:hAnsi="Times New Roman" w:cs="Times New Roman"/>
          <w:color w:val="000000"/>
          <w:sz w:val="24"/>
          <w:szCs w:val="24"/>
          <w:lang w:eastAsia="en-AU"/>
        </w:rPr>
      </w:pPr>
      <w:r w:rsidRPr="00525534">
        <w:rPr>
          <w:rFonts w:ascii="Times New Roman" w:hAnsi="Times New Roman" w:cs="Times New Roman"/>
          <w:color w:val="000000"/>
          <w:sz w:val="24"/>
          <w:szCs w:val="24"/>
          <w:lang w:eastAsia="en-AU"/>
        </w:rPr>
        <w:t>Favourable attention ha</w:t>
      </w:r>
      <w:r>
        <w:rPr>
          <w:rFonts w:ascii="Times New Roman" w:hAnsi="Times New Roman" w:cs="Times New Roman"/>
          <w:color w:val="000000"/>
          <w:sz w:val="24"/>
          <w:szCs w:val="24"/>
          <w:lang w:eastAsia="en-AU"/>
        </w:rPr>
        <w:t>s only come from education theorists</w:t>
      </w:r>
      <w:r w:rsidRPr="00525534">
        <w:rPr>
          <w:rFonts w:ascii="Times New Roman" w:hAnsi="Times New Roman" w:cs="Times New Roman"/>
          <w:color w:val="000000"/>
          <w:sz w:val="24"/>
          <w:szCs w:val="24"/>
          <w:lang w:eastAsia="en-AU"/>
        </w:rPr>
        <w:t>. No other part of the world adopts this system. See submission 228. Imitation is the sincerest form of flattery but other jurisdictions have not followed Queensland’s lead</w:t>
      </w:r>
      <w:r>
        <w:rPr>
          <w:rFonts w:ascii="Times New Roman" w:hAnsi="Times New Roman" w:cs="Times New Roman"/>
          <w:color w:val="000000"/>
          <w:sz w:val="24"/>
          <w:szCs w:val="24"/>
          <w:lang w:eastAsia="en-AU"/>
        </w:rPr>
        <w:t>.</w:t>
      </w: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lastRenderedPageBreak/>
        <w:t>False Claim 3</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"Achievement standards are fixed reference points used by all schools to describe how well students have achieved the objectives in the syllabus."</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Mrs Walton, 7 March, page 3</w:t>
      </w:r>
    </w:p>
    <w:p w:rsidR="00037498" w:rsidRDefault="00037498" w:rsidP="00037498">
      <w:pPr>
        <w:rPr>
          <w:rFonts w:ascii="Times New Roman" w:hAnsi="Times New Roman" w:cs="Times New Roman"/>
          <w:color w:val="000000"/>
          <w:sz w:val="24"/>
          <w:szCs w:val="24"/>
          <w:lang w:eastAsia="en-AU"/>
        </w:rPr>
      </w:pPr>
    </w:p>
    <w:p w:rsidR="00037498" w:rsidRPr="00525534" w:rsidRDefault="00037498" w:rsidP="00037498">
      <w:pPr>
        <w:rPr>
          <w:rFonts w:ascii="Times New Roman" w:hAnsi="Times New Roman" w:cs="Times New Roman"/>
          <w:color w:val="000000"/>
          <w:sz w:val="24"/>
          <w:szCs w:val="24"/>
          <w:lang w:eastAsia="en-AU"/>
        </w:rPr>
      </w:pPr>
      <w:r w:rsidRPr="00525534">
        <w:rPr>
          <w:rFonts w:ascii="Times New Roman" w:hAnsi="Times New Roman" w:cs="Times New Roman"/>
          <w:color w:val="000000"/>
          <w:sz w:val="24"/>
          <w:szCs w:val="24"/>
          <w:lang w:eastAsia="en-AU"/>
        </w:rPr>
        <w:t>QSA's tables of paragraphs are subjective, not fixed. It is clear that the majority of the submissions reported considerable difficulty with these supposedly fixed standards.</w:t>
      </w:r>
    </w:p>
    <w:p w:rsidR="00037498" w:rsidRPr="00525534" w:rsidRDefault="00037498" w:rsidP="00037498">
      <w:pPr>
        <w:jc w:val="right"/>
        <w:rPr>
          <w:rFonts w:ascii="Times New Roman" w:hAnsi="Times New Roman" w:cs="Times New Roman"/>
          <w:color w:val="000000"/>
          <w:sz w:val="24"/>
          <w:szCs w:val="24"/>
          <w:lang w:eastAsia="en-AU"/>
        </w:rPr>
      </w:pPr>
      <w:r w:rsidRPr="00525534">
        <w:rPr>
          <w:rFonts w:ascii="Times New Roman" w:hAnsi="Times New Roman" w:cs="Times New Roman"/>
          <w:color w:val="000000"/>
          <w:sz w:val="24"/>
          <w:szCs w:val="24"/>
          <w:lang w:eastAsia="en-AU"/>
        </w:rPr>
        <w:t>- most submissions to this inquiry</w:t>
      </w:r>
    </w:p>
    <w:p w:rsidR="00037498" w:rsidRDefault="00037498" w:rsidP="00037498">
      <w:pPr>
        <w:rPr>
          <w:rFonts w:ascii="Times New Roman" w:hAnsi="Times New Roman" w:cs="Times New Roman"/>
          <w:b/>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t>False Claim 4</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"Secondly, the system builds the professionalism of our teachers by encouraging their ownership in the assessment process and making them accountable for their judgements."</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Mrs Walton, 7 March, page 4</w:t>
      </w:r>
    </w:p>
    <w:p w:rsidR="00037498" w:rsidRDefault="00037498" w:rsidP="00037498">
      <w:pPr>
        <w:rPr>
          <w:rFonts w:ascii="Times New Roman" w:hAnsi="Times New Roman" w:cs="Times New Roman"/>
          <w:sz w:val="24"/>
          <w:szCs w:val="24"/>
          <w:lang w:eastAsia="en-AU"/>
        </w:rPr>
      </w:pPr>
    </w:p>
    <w:p w:rsidR="00037498" w:rsidRPr="00525534" w:rsidRDefault="00037498" w:rsidP="00037498">
      <w:pPr>
        <w:rPr>
          <w:rFonts w:ascii="Times New Roman" w:hAnsi="Times New Roman" w:cs="Times New Roman"/>
          <w:sz w:val="24"/>
          <w:szCs w:val="24"/>
          <w:lang w:eastAsia="en-AU"/>
        </w:rPr>
      </w:pPr>
      <w:r w:rsidRPr="00525534">
        <w:rPr>
          <w:rFonts w:ascii="Times New Roman" w:hAnsi="Times New Roman" w:cs="Times New Roman"/>
          <w:sz w:val="24"/>
          <w:szCs w:val="24"/>
          <w:lang w:eastAsia="en-AU"/>
        </w:rPr>
        <w:t>Teachers are demoralised and overworked under QSA by having to each 're-invent the wheel' every year.  Teachers express their professional judgement by rejecting QSA's unreliable and invalid methods.</w:t>
      </w:r>
    </w:p>
    <w:p w:rsidR="00037498" w:rsidRDefault="00037498" w:rsidP="00037498">
      <w:pPr>
        <w:rPr>
          <w:rFonts w:ascii="Times New Roman" w:hAnsi="Times New Roman" w:cs="Times New Roman"/>
          <w:b/>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t>False Claim 5</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"Thirdly, government benefits from a system that is fair, reliable and highly cost-effective."</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Mrs Walton, 7 March, page 4</w:t>
      </w:r>
    </w:p>
    <w:p w:rsidR="00037498" w:rsidRDefault="00037498" w:rsidP="00037498">
      <w:pPr>
        <w:rPr>
          <w:rFonts w:ascii="Times New Roman" w:hAnsi="Times New Roman" w:cs="Times New Roman"/>
          <w:sz w:val="24"/>
          <w:szCs w:val="24"/>
          <w:lang w:eastAsia="en-AU"/>
        </w:rPr>
      </w:pPr>
      <w:r w:rsidRPr="00525534">
        <w:rPr>
          <w:rFonts w:ascii="Times New Roman" w:hAnsi="Times New Roman" w:cs="Times New Roman"/>
          <w:sz w:val="24"/>
          <w:szCs w:val="24"/>
          <w:lang w:eastAsia="en-AU"/>
        </w:rPr>
        <w:t>Social moderation has been demonstrated to be unfair and unreliable to this inquiry: Teachers can 'cheat' on tests to make their school look good, and written assignments are often not the student's own work. This unfairness, and unreliability is exacerbated by the imposition of vague and subjective assessment methods.</w:t>
      </w:r>
      <w:r w:rsidRPr="00525534">
        <w:rPr>
          <w:rFonts w:ascii="Times New Roman" w:hAnsi="Times New Roman" w:cs="Times New Roman"/>
          <w:sz w:val="24"/>
          <w:szCs w:val="24"/>
          <w:lang w:eastAsia="en-AU"/>
        </w:rPr>
        <w:tab/>
      </w:r>
    </w:p>
    <w:p w:rsidR="00037498" w:rsidRPr="00525534" w:rsidRDefault="00037498" w:rsidP="00037498">
      <w:pPr>
        <w:rPr>
          <w:rFonts w:ascii="Times New Roman" w:hAnsi="Times New Roman" w:cs="Times New Roman"/>
          <w:sz w:val="24"/>
          <w:szCs w:val="24"/>
          <w:lang w:eastAsia="en-AU"/>
        </w:rPr>
      </w:pPr>
      <w:r w:rsidRPr="00525534">
        <w:rPr>
          <w:rFonts w:ascii="Times New Roman" w:hAnsi="Times New Roman" w:cs="Times New Roman"/>
          <w:sz w:val="24"/>
          <w:szCs w:val="24"/>
          <w:lang w:eastAsia="en-AU"/>
        </w:rPr>
        <w:t>No cost-benefit analysis has been presented to the inquiry. But it is difficult to see how making every school set its own tests, which are different to every other school in the state, can be an efficient use of teacher time</w:t>
      </w:r>
    </w:p>
    <w:p w:rsidR="00037498" w:rsidRPr="00525534" w:rsidRDefault="00037498" w:rsidP="00037498">
      <w:pPr>
        <w:rPr>
          <w:rFonts w:ascii="Times New Roman" w:hAnsi="Times New Roman" w:cs="Times New Roman"/>
          <w:sz w:val="24"/>
          <w:szCs w:val="24"/>
          <w:lang w:eastAsia="en-AU"/>
        </w:rPr>
      </w:pPr>
    </w:p>
    <w:p w:rsidR="00037498" w:rsidRDefault="00037498" w:rsidP="00037498">
      <w:pPr>
        <w:jc w:val="right"/>
        <w:rPr>
          <w:rFonts w:ascii="Times New Roman" w:hAnsi="Times New Roman" w:cs="Times New Roman"/>
          <w:sz w:val="24"/>
          <w:szCs w:val="24"/>
          <w:lang w:eastAsia="en-AU"/>
        </w:rPr>
      </w:pPr>
      <w:r w:rsidRPr="00525534">
        <w:rPr>
          <w:rFonts w:ascii="Times New Roman" w:hAnsi="Times New Roman" w:cs="Times New Roman"/>
          <w:sz w:val="24"/>
          <w:szCs w:val="24"/>
          <w:lang w:eastAsia="en-AU"/>
        </w:rPr>
        <w:t>- most submissions</w:t>
      </w:r>
    </w:p>
    <w:p w:rsidR="0057755B" w:rsidRPr="00525534" w:rsidRDefault="0057755B" w:rsidP="00037498">
      <w:pPr>
        <w:jc w:val="right"/>
        <w:rPr>
          <w:rFonts w:ascii="Times New Roman" w:hAnsi="Times New Roman" w:cs="Times New Roman"/>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lastRenderedPageBreak/>
        <w:t>False Claim 6</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"Teachers show their support for the system through their very representation on review panels."</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Mrs Walton, 7 March, page 4</w:t>
      </w:r>
    </w:p>
    <w:p w:rsidR="00037498" w:rsidRPr="00525534" w:rsidRDefault="00037498" w:rsidP="00037498">
      <w:pPr>
        <w:rPr>
          <w:rFonts w:ascii="Times New Roman" w:hAnsi="Times New Roman" w:cs="Times New Roman"/>
          <w:sz w:val="24"/>
          <w:szCs w:val="24"/>
          <w:lang w:eastAsia="en-AU"/>
        </w:rPr>
      </w:pPr>
      <w:r w:rsidRPr="00525534">
        <w:rPr>
          <w:rFonts w:ascii="Times New Roman" w:hAnsi="Times New Roman" w:cs="Times New Roman"/>
          <w:sz w:val="24"/>
          <w:szCs w:val="24"/>
          <w:lang w:eastAsia="en-AU"/>
        </w:rPr>
        <w:t>Teachers join the panel for varying reasons</w:t>
      </w:r>
      <w:r>
        <w:rPr>
          <w:rFonts w:ascii="Times New Roman" w:hAnsi="Times New Roman" w:cs="Times New Roman"/>
          <w:sz w:val="24"/>
          <w:szCs w:val="24"/>
          <w:lang w:eastAsia="en-AU"/>
        </w:rPr>
        <w:t xml:space="preserve"> including to try to understand and work the system better. This should not be interpreted as support. They have to work in th</w:t>
      </w:r>
      <w:r w:rsidR="00E07DB0">
        <w:rPr>
          <w:rFonts w:ascii="Times New Roman" w:hAnsi="Times New Roman" w:cs="Times New Roman"/>
          <w:sz w:val="24"/>
          <w:szCs w:val="24"/>
          <w:lang w:eastAsia="en-AU"/>
        </w:rPr>
        <w:t>e system no matter what it is or</w:t>
      </w:r>
      <w:r>
        <w:rPr>
          <w:rFonts w:ascii="Times New Roman" w:hAnsi="Times New Roman" w:cs="Times New Roman"/>
          <w:sz w:val="24"/>
          <w:szCs w:val="24"/>
          <w:lang w:eastAsia="en-AU"/>
        </w:rPr>
        <w:t xml:space="preserve"> whether they support it.</w:t>
      </w:r>
    </w:p>
    <w:p w:rsidR="00037498" w:rsidRPr="00525534" w:rsidRDefault="00037498" w:rsidP="00037498">
      <w:pPr>
        <w:rPr>
          <w:rFonts w:ascii="Times New Roman" w:hAnsi="Times New Roman" w:cs="Times New Roman"/>
          <w:sz w:val="24"/>
          <w:szCs w:val="24"/>
          <w:lang w:eastAsia="en-AU"/>
        </w:rPr>
      </w:pPr>
      <w:r w:rsidRPr="00525534">
        <w:rPr>
          <w:rFonts w:ascii="Times New Roman" w:hAnsi="Times New Roman" w:cs="Times New Roman"/>
          <w:sz w:val="24"/>
          <w:szCs w:val="24"/>
          <w:lang w:eastAsia="en-AU"/>
        </w:rPr>
        <w:t xml:space="preserve"> 85% of teachers submissions reject QSA and 96% of submissions from teachers on full teaching loads reject QSA. </w:t>
      </w:r>
    </w:p>
    <w:p w:rsidR="00037498" w:rsidRPr="00525534" w:rsidRDefault="00037498" w:rsidP="00037498">
      <w:pPr>
        <w:rPr>
          <w:rFonts w:ascii="Times New Roman" w:hAnsi="Times New Roman" w:cs="Times New Roman"/>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t>False Claim 7</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"Queensland syllabuses are not based on the latest fads in education."</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Mrs Walton, 7 March, page 4</w:t>
      </w:r>
    </w:p>
    <w:p w:rsidR="00037498" w:rsidRDefault="00037498" w:rsidP="00037498">
      <w:pPr>
        <w:rPr>
          <w:rFonts w:ascii="Times New Roman" w:hAnsi="Times New Roman" w:cs="Times New Roman"/>
          <w:sz w:val="24"/>
          <w:szCs w:val="24"/>
          <w:lang w:eastAsia="en-AU"/>
        </w:rPr>
      </w:pPr>
    </w:p>
    <w:p w:rsidR="00037498" w:rsidRPr="00525534" w:rsidRDefault="00037498" w:rsidP="00037498">
      <w:pPr>
        <w:rPr>
          <w:rFonts w:ascii="Times New Roman" w:hAnsi="Times New Roman" w:cs="Times New Roman"/>
          <w:sz w:val="24"/>
          <w:szCs w:val="24"/>
          <w:lang w:eastAsia="en-AU"/>
        </w:rPr>
      </w:pPr>
      <w:r w:rsidRPr="00525534">
        <w:rPr>
          <w:rFonts w:ascii="Times New Roman" w:hAnsi="Times New Roman" w:cs="Times New Roman"/>
          <w:sz w:val="24"/>
          <w:szCs w:val="24"/>
          <w:lang w:eastAsia="en-AU"/>
        </w:rPr>
        <w:t xml:space="preserve">Submission 19, 28 and the tabled document  </w:t>
      </w:r>
      <w:r w:rsidRPr="00525534">
        <w:rPr>
          <w:rFonts w:ascii="Times New Roman" w:hAnsi="Times New Roman" w:cs="Times New Roman"/>
          <w:i/>
          <w:sz w:val="24"/>
          <w:szCs w:val="24"/>
          <w:lang w:eastAsia="en-AU"/>
        </w:rPr>
        <w:t xml:space="preserve">Why Education Experts Resist Effective Practices </w:t>
      </w:r>
      <w:r w:rsidRPr="00525534">
        <w:rPr>
          <w:rFonts w:ascii="Times New Roman" w:hAnsi="Times New Roman" w:cs="Times New Roman"/>
          <w:sz w:val="24"/>
          <w:szCs w:val="24"/>
          <w:lang w:eastAsia="en-AU"/>
        </w:rPr>
        <w:t>by D. Carnine explain how constructivism promoted by education academics is a flawed ideology. Queensland syllabi are based on constructivism</w:t>
      </w:r>
      <w:r>
        <w:rPr>
          <w:rFonts w:ascii="Times New Roman" w:hAnsi="Times New Roman" w:cs="Times New Roman"/>
          <w:sz w:val="24"/>
          <w:szCs w:val="24"/>
          <w:lang w:eastAsia="en-AU"/>
        </w:rPr>
        <w:t xml:space="preserve"> which is one of the latest fads in education</w:t>
      </w:r>
      <w:r w:rsidRPr="00525534">
        <w:rPr>
          <w:rFonts w:ascii="Times New Roman" w:hAnsi="Times New Roman" w:cs="Times New Roman"/>
          <w:sz w:val="24"/>
          <w:szCs w:val="24"/>
          <w:lang w:eastAsia="en-AU"/>
        </w:rPr>
        <w:t>.</w:t>
      </w:r>
    </w:p>
    <w:p w:rsidR="00037498" w:rsidRDefault="00037498" w:rsidP="00037498">
      <w:pPr>
        <w:rPr>
          <w:rFonts w:ascii="Times New Roman" w:hAnsi="Times New Roman" w:cs="Times New Roman"/>
          <w:b/>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t>False Claim 8</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"Let me be clear: QSA has not banned the use of marks. QSA has not banned the use of marks."</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Mrs Walton, 7 March, page 5</w:t>
      </w:r>
    </w:p>
    <w:p w:rsidR="00037498" w:rsidRPr="00525534" w:rsidRDefault="00037498" w:rsidP="00037498">
      <w:pPr>
        <w:rPr>
          <w:rFonts w:ascii="Times New Roman" w:hAnsi="Times New Roman" w:cs="Times New Roman"/>
          <w:sz w:val="24"/>
          <w:szCs w:val="24"/>
          <w:lang w:eastAsia="en-AU"/>
        </w:rPr>
      </w:pPr>
      <w:r w:rsidRPr="00525534">
        <w:rPr>
          <w:rFonts w:ascii="Times New Roman" w:hAnsi="Times New Roman" w:cs="Times New Roman"/>
          <w:sz w:val="24"/>
          <w:szCs w:val="24"/>
          <w:lang w:eastAsia="en-AU"/>
        </w:rPr>
        <w:t xml:space="preserve">The majority of submissions demonstrated to this inquiry that QSA has effectively banned marks. </w:t>
      </w:r>
    </w:p>
    <w:p w:rsidR="00037498" w:rsidRPr="00525534" w:rsidRDefault="00037498" w:rsidP="00037498">
      <w:pPr>
        <w:rPr>
          <w:rFonts w:ascii="Times New Roman" w:hAnsi="Times New Roman" w:cs="Times New Roman"/>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t>False Claim 9</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skills our children will learn in the classroom will be obsolete by the time they enter the workforce."</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Mrs Walton, 7 March, page 6</w:t>
      </w:r>
    </w:p>
    <w:p w:rsidR="00037498" w:rsidRPr="00525534" w:rsidRDefault="00037498" w:rsidP="00037498">
      <w:pPr>
        <w:rPr>
          <w:rFonts w:ascii="Times New Roman" w:hAnsi="Times New Roman" w:cs="Times New Roman"/>
          <w:color w:val="000000"/>
          <w:sz w:val="24"/>
          <w:szCs w:val="24"/>
          <w:lang w:eastAsia="en-AU"/>
        </w:rPr>
      </w:pPr>
      <w:r w:rsidRPr="00525534">
        <w:rPr>
          <w:rFonts w:ascii="Times New Roman" w:hAnsi="Times New Roman" w:cs="Times New Roman"/>
          <w:color w:val="000000"/>
          <w:sz w:val="24"/>
          <w:szCs w:val="24"/>
          <w:lang w:eastAsia="en-AU"/>
        </w:rPr>
        <w:lastRenderedPageBreak/>
        <w:t>False. Mathematics, Physics and Chemistry describe the unchanging language of the physical world. These laws of nature will still apply when children enter the workforce and beyond. Educational theories will probably change, however</w:t>
      </w:r>
      <w:r>
        <w:rPr>
          <w:rFonts w:ascii="Times New Roman" w:hAnsi="Times New Roman" w:cs="Times New Roman"/>
          <w:color w:val="000000"/>
          <w:sz w:val="24"/>
          <w:szCs w:val="24"/>
          <w:lang w:eastAsia="en-AU"/>
        </w:rPr>
        <w:t>, to whatever is the passing fad at that time</w:t>
      </w:r>
      <w:r w:rsidRPr="00525534">
        <w:rPr>
          <w:rFonts w:ascii="Times New Roman" w:hAnsi="Times New Roman" w:cs="Times New Roman"/>
          <w:color w:val="000000"/>
          <w:sz w:val="24"/>
          <w:szCs w:val="24"/>
          <w:lang w:eastAsia="en-AU"/>
        </w:rPr>
        <w:t>.</w:t>
      </w:r>
    </w:p>
    <w:p w:rsidR="00037498" w:rsidRPr="00525534" w:rsidRDefault="00037498" w:rsidP="00037498">
      <w:pPr>
        <w:rPr>
          <w:rFonts w:ascii="Times New Roman" w:hAnsi="Times New Roman" w:cs="Times New Roman"/>
          <w:color w:val="000000"/>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t>False Claim 10</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"But despite the best efforts, there still appear to be instances where students exceed the word length. It is not the role of panels to enforce word lengths. They are primarily concerned with the way in which a student's work meets the standards in the syllabus. Schools consciously make this decision, not the Queensland Studies Authority."</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Mrs Walton, 7 March, page 6</w:t>
      </w:r>
    </w:p>
    <w:p w:rsidR="00037498" w:rsidRPr="00525534" w:rsidRDefault="00037498" w:rsidP="00037498">
      <w:pPr>
        <w:rPr>
          <w:rFonts w:ascii="Times New Roman" w:hAnsi="Times New Roman" w:cs="Times New Roman"/>
          <w:color w:val="000000"/>
          <w:sz w:val="24"/>
          <w:szCs w:val="24"/>
          <w:lang w:eastAsia="en-AU"/>
        </w:rPr>
      </w:pPr>
      <w:r w:rsidRPr="00525534">
        <w:rPr>
          <w:rFonts w:ascii="Times New Roman" w:hAnsi="Times New Roman" w:cs="Times New Roman"/>
          <w:color w:val="000000"/>
          <w:sz w:val="24"/>
          <w:szCs w:val="24"/>
          <w:lang w:eastAsia="en-AU"/>
        </w:rPr>
        <w:t xml:space="preserve">QSA is responsible for designing assessment criteria which cannot all be confidently satisfied within short essays. Students write long assignments to try to fulfil these criteria. QSA's own website exemplars are 4000 and 6000 words long. Clearly QSA is responsible as QSA is responsible for </w:t>
      </w:r>
      <w:r>
        <w:rPr>
          <w:rFonts w:ascii="Times New Roman" w:hAnsi="Times New Roman" w:cs="Times New Roman"/>
          <w:color w:val="000000"/>
          <w:sz w:val="24"/>
          <w:szCs w:val="24"/>
          <w:lang w:eastAsia="en-AU"/>
        </w:rPr>
        <w:t xml:space="preserve">ALL </w:t>
      </w:r>
      <w:r w:rsidRPr="00525534">
        <w:rPr>
          <w:rFonts w:ascii="Times New Roman" w:hAnsi="Times New Roman" w:cs="Times New Roman"/>
          <w:color w:val="000000"/>
          <w:sz w:val="24"/>
          <w:szCs w:val="24"/>
          <w:lang w:eastAsia="en-AU"/>
        </w:rPr>
        <w:t xml:space="preserve">assessment in Queensland. </w:t>
      </w:r>
    </w:p>
    <w:p w:rsidR="00037498" w:rsidRDefault="00037498" w:rsidP="00037498">
      <w:pPr>
        <w:rPr>
          <w:rFonts w:ascii="Times New Roman" w:hAnsi="Times New Roman" w:cs="Times New Roman"/>
          <w:b/>
          <w:sz w:val="24"/>
          <w:szCs w:val="24"/>
          <w:lang w:eastAsia="en-AU"/>
        </w:rPr>
      </w:pPr>
    </w:p>
    <w:p w:rsidR="00037498" w:rsidRPr="00525534" w:rsidRDefault="00037498" w:rsidP="00037498">
      <w:pPr>
        <w:rPr>
          <w:rFonts w:ascii="Times New Roman" w:hAnsi="Times New Roman" w:cs="Times New Roman"/>
          <w:b/>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t>False Claim 11</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"There is not a decline."</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Mrs Walton, 7 March, page 6</w:t>
      </w:r>
    </w:p>
    <w:p w:rsidR="00E07DB0" w:rsidRDefault="00E07DB0" w:rsidP="00037498">
      <w:pPr>
        <w:rPr>
          <w:rFonts w:ascii="Times New Roman" w:hAnsi="Times New Roman" w:cs="Times New Roman"/>
          <w:sz w:val="24"/>
          <w:szCs w:val="24"/>
          <w:lang w:eastAsia="en-AU"/>
        </w:rPr>
      </w:pPr>
    </w:p>
    <w:p w:rsidR="00037498" w:rsidRPr="00525534" w:rsidRDefault="00037498" w:rsidP="00037498">
      <w:pPr>
        <w:rPr>
          <w:rFonts w:ascii="Times New Roman" w:hAnsi="Times New Roman" w:cs="Times New Roman"/>
          <w:sz w:val="24"/>
          <w:szCs w:val="24"/>
          <w:lang w:eastAsia="en-AU"/>
        </w:rPr>
      </w:pPr>
      <w:r w:rsidRPr="00525534">
        <w:rPr>
          <w:rFonts w:ascii="Times New Roman" w:hAnsi="Times New Roman" w:cs="Times New Roman"/>
          <w:sz w:val="24"/>
          <w:szCs w:val="24"/>
          <w:lang w:eastAsia="en-AU"/>
        </w:rPr>
        <w:t xml:space="preserve">See for example, submissions 28 and 253, and QSA's own tabled data for outlines of our forty-year decline in mathematics and mathematical sciences. </w:t>
      </w:r>
    </w:p>
    <w:p w:rsidR="00037498" w:rsidRDefault="00037498" w:rsidP="00037498">
      <w:pPr>
        <w:rPr>
          <w:rFonts w:ascii="Times New Roman" w:hAnsi="Times New Roman" w:cs="Times New Roman"/>
          <w:b/>
          <w:sz w:val="24"/>
          <w:szCs w:val="24"/>
          <w:lang w:eastAsia="en-AU"/>
        </w:rPr>
      </w:pPr>
    </w:p>
    <w:p w:rsidR="00037498" w:rsidRPr="00525534" w:rsidRDefault="00037498" w:rsidP="00037498">
      <w:pPr>
        <w:rPr>
          <w:rFonts w:ascii="Times New Roman" w:hAnsi="Times New Roman" w:cs="Times New Roman"/>
          <w:b/>
          <w:sz w:val="24"/>
          <w:szCs w:val="24"/>
          <w:lang w:eastAsia="en-AU"/>
        </w:rPr>
      </w:pPr>
    </w:p>
    <w:p w:rsidR="00037498" w:rsidRPr="00525534" w:rsidRDefault="00037498" w:rsidP="00037498">
      <w:pPr>
        <w:rPr>
          <w:rFonts w:ascii="Times New Roman" w:hAnsi="Times New Roman" w:cs="Times New Roman"/>
          <w:b/>
          <w:i/>
          <w:color w:val="000000" w:themeColor="text1"/>
          <w:sz w:val="24"/>
          <w:szCs w:val="24"/>
          <w:lang w:eastAsia="en-AU"/>
        </w:rPr>
      </w:pPr>
      <w:r w:rsidRPr="00525534">
        <w:rPr>
          <w:rFonts w:ascii="Times New Roman" w:hAnsi="Times New Roman" w:cs="Times New Roman"/>
          <w:b/>
          <w:i/>
          <w:color w:val="000000" w:themeColor="text1"/>
          <w:sz w:val="24"/>
          <w:szCs w:val="24"/>
          <w:lang w:eastAsia="en-AU"/>
        </w:rPr>
        <w:t>Misleading Claim 12</w:t>
      </w:r>
    </w:p>
    <w:p w:rsidR="00037498" w:rsidRPr="00525534" w:rsidRDefault="00037498" w:rsidP="00037498">
      <w:pPr>
        <w:rPr>
          <w:rFonts w:ascii="Times New Roman" w:hAnsi="Times New Roman" w:cs="Times New Roman"/>
          <w:b/>
          <w:i/>
          <w:color w:val="000000" w:themeColor="text1"/>
          <w:sz w:val="24"/>
          <w:szCs w:val="24"/>
          <w:lang w:eastAsia="en-AU"/>
        </w:rPr>
      </w:pPr>
      <w:r w:rsidRPr="00525534">
        <w:rPr>
          <w:rFonts w:ascii="Times New Roman" w:hAnsi="Times New Roman" w:cs="Times New Roman"/>
          <w:i/>
          <w:color w:val="000000" w:themeColor="text1"/>
          <w:sz w:val="24"/>
          <w:szCs w:val="24"/>
          <w:lang w:eastAsia="en-AU"/>
        </w:rPr>
        <w:t>"... academics, including the head of the mathematics department at the University of Queensland, Professor Joe Grotowski, consider the content of Queensland's mathematics B and mathematics C syllabuses to be good preparation for university."</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Mrs Walton, 7 March, page 7</w:t>
      </w:r>
    </w:p>
    <w:p w:rsidR="00037498" w:rsidRDefault="00037498" w:rsidP="00037498">
      <w:pPr>
        <w:rPr>
          <w:rFonts w:ascii="Times New Roman" w:hAnsi="Times New Roman" w:cs="Times New Roman"/>
          <w:color w:val="000000"/>
          <w:sz w:val="24"/>
          <w:szCs w:val="24"/>
        </w:rPr>
      </w:pPr>
    </w:p>
    <w:p w:rsidR="00037498" w:rsidRPr="00525534" w:rsidRDefault="00037498" w:rsidP="00037498">
      <w:pPr>
        <w:rPr>
          <w:rFonts w:ascii="Times New Roman" w:hAnsi="Times New Roman" w:cs="Times New Roman"/>
          <w:color w:val="000000"/>
          <w:sz w:val="24"/>
          <w:szCs w:val="24"/>
        </w:rPr>
      </w:pPr>
      <w:r w:rsidRPr="00525534">
        <w:rPr>
          <w:rFonts w:ascii="Times New Roman" w:hAnsi="Times New Roman" w:cs="Times New Roman"/>
          <w:color w:val="000000"/>
          <w:sz w:val="24"/>
          <w:szCs w:val="24"/>
        </w:rPr>
        <w:lastRenderedPageBreak/>
        <w:t>"In summary, from our submission, we have students entering tertiary study with weak mathematical skills despite the fact that they are getting an SA or better in maths B. This is not down to the subject, the mathematical content of the syllabus; it is down to the assessment."</w:t>
      </w:r>
    </w:p>
    <w:p w:rsidR="00037498" w:rsidRPr="00525534" w:rsidRDefault="00037498" w:rsidP="00037498">
      <w:pPr>
        <w:jc w:val="right"/>
        <w:rPr>
          <w:rFonts w:ascii="Times New Roman" w:hAnsi="Times New Roman" w:cs="Times New Roman"/>
          <w:b/>
          <w:sz w:val="24"/>
          <w:szCs w:val="24"/>
          <w:lang w:eastAsia="en-AU"/>
        </w:rPr>
      </w:pPr>
      <w:r w:rsidRPr="00525534">
        <w:rPr>
          <w:rFonts w:ascii="Times New Roman" w:hAnsi="Times New Roman" w:cs="Times New Roman"/>
          <w:color w:val="000000"/>
          <w:sz w:val="24"/>
          <w:szCs w:val="24"/>
        </w:rPr>
        <w:t>- Prof Grotowski, 22 May, page 28</w:t>
      </w:r>
    </w:p>
    <w:p w:rsidR="00037498" w:rsidRDefault="00037498" w:rsidP="00037498">
      <w:pPr>
        <w:rPr>
          <w:rFonts w:ascii="Times New Roman" w:hAnsi="Times New Roman" w:cs="Times New Roman"/>
          <w:b/>
          <w:sz w:val="24"/>
          <w:szCs w:val="24"/>
          <w:lang w:eastAsia="en-AU"/>
        </w:rPr>
      </w:pPr>
    </w:p>
    <w:p w:rsidR="00037498" w:rsidRDefault="00037498" w:rsidP="00037498">
      <w:pPr>
        <w:rPr>
          <w:rFonts w:ascii="Times New Roman" w:hAnsi="Times New Roman" w:cs="Times New Roman"/>
          <w:b/>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t>False Claim 13</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"Marks based systems tended to emphasise lower order thinking, while examinations based on criteria in syllabuses tended to award greater credit for higher order thinking questions."</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Mrs Walton, 7 March, page 7</w:t>
      </w:r>
    </w:p>
    <w:p w:rsidR="00037498" w:rsidRDefault="00037498" w:rsidP="00037498">
      <w:pPr>
        <w:rPr>
          <w:rFonts w:ascii="Times New Roman" w:hAnsi="Times New Roman" w:cs="Times New Roman"/>
          <w:sz w:val="24"/>
          <w:szCs w:val="24"/>
          <w:lang w:eastAsia="en-AU"/>
        </w:rPr>
      </w:pPr>
    </w:p>
    <w:p w:rsidR="00230EC5" w:rsidRDefault="00230EC5" w:rsidP="00037498">
      <w:pPr>
        <w:rPr>
          <w:rFonts w:ascii="Times New Roman" w:hAnsi="Times New Roman" w:cs="Times New Roman"/>
          <w:color w:val="000000"/>
          <w:sz w:val="24"/>
          <w:szCs w:val="24"/>
        </w:rPr>
      </w:pPr>
      <w:r w:rsidRPr="00230EC5">
        <w:rPr>
          <w:rFonts w:ascii="Times New Roman" w:hAnsi="Times New Roman" w:cs="Times New Roman"/>
          <w:color w:val="000000"/>
          <w:sz w:val="24"/>
          <w:szCs w:val="24"/>
        </w:rPr>
        <w:t>“Higher order thinking” has a specific meaning to education theorists, different from what scientists and the general public might expect. To education theorists, it refers to</w:t>
      </w:r>
      <w:r w:rsidRPr="00230EC5">
        <w:rPr>
          <w:rStyle w:val="apple-converted-space"/>
          <w:rFonts w:ascii="Times New Roman" w:hAnsi="Times New Roman" w:cs="Times New Roman"/>
          <w:color w:val="000000"/>
          <w:sz w:val="24"/>
          <w:szCs w:val="24"/>
        </w:rPr>
        <w:t> </w:t>
      </w:r>
      <w:r w:rsidRPr="00230EC5">
        <w:rPr>
          <w:rFonts w:ascii="Times New Roman" w:hAnsi="Times New Roman" w:cs="Times New Roman"/>
          <w:i/>
          <w:iCs/>
          <w:color w:val="000000"/>
          <w:sz w:val="24"/>
          <w:szCs w:val="24"/>
        </w:rPr>
        <w:t>creating, evaluating</w:t>
      </w:r>
      <w:r w:rsidRPr="00230EC5">
        <w:rPr>
          <w:rStyle w:val="apple-converted-space"/>
          <w:rFonts w:ascii="Times New Roman" w:hAnsi="Times New Roman" w:cs="Times New Roman"/>
          <w:i/>
          <w:iCs/>
          <w:color w:val="000000"/>
          <w:sz w:val="24"/>
          <w:szCs w:val="24"/>
        </w:rPr>
        <w:t> </w:t>
      </w:r>
      <w:r w:rsidRPr="00230EC5">
        <w:rPr>
          <w:rFonts w:ascii="Times New Roman" w:hAnsi="Times New Roman" w:cs="Times New Roman"/>
          <w:color w:val="000000"/>
          <w:sz w:val="24"/>
          <w:szCs w:val="24"/>
        </w:rPr>
        <w:t>and</w:t>
      </w:r>
      <w:r w:rsidRPr="00230EC5">
        <w:rPr>
          <w:rStyle w:val="apple-converted-space"/>
          <w:rFonts w:ascii="Times New Roman" w:hAnsi="Times New Roman" w:cs="Times New Roman"/>
          <w:i/>
          <w:iCs/>
          <w:color w:val="000000"/>
          <w:sz w:val="24"/>
          <w:szCs w:val="24"/>
        </w:rPr>
        <w:t> </w:t>
      </w:r>
      <w:r w:rsidRPr="00230EC5">
        <w:rPr>
          <w:rFonts w:ascii="Times New Roman" w:hAnsi="Times New Roman" w:cs="Times New Roman"/>
          <w:i/>
          <w:iCs/>
          <w:color w:val="000000"/>
          <w:sz w:val="24"/>
          <w:szCs w:val="24"/>
        </w:rPr>
        <w:t>analyzing</w:t>
      </w:r>
      <w:r w:rsidRPr="00230EC5">
        <w:rPr>
          <w:rFonts w:ascii="Times New Roman" w:hAnsi="Times New Roman" w:cs="Times New Roman"/>
          <w:color w:val="000000"/>
          <w:sz w:val="24"/>
          <w:szCs w:val="24"/>
        </w:rPr>
        <w:t>, which they regard as 'higher' or more important than</w:t>
      </w:r>
      <w:r>
        <w:rPr>
          <w:rStyle w:val="apple-converted-space"/>
          <w:rFonts w:ascii="Times New Roman" w:hAnsi="Times New Roman" w:cs="Times New Roman"/>
          <w:color w:val="000000"/>
          <w:sz w:val="24"/>
          <w:szCs w:val="24"/>
        </w:rPr>
        <w:t xml:space="preserve"> </w:t>
      </w:r>
      <w:r w:rsidRPr="00230EC5">
        <w:rPr>
          <w:rFonts w:ascii="Times New Roman" w:hAnsi="Times New Roman" w:cs="Times New Roman"/>
          <w:i/>
          <w:iCs/>
          <w:color w:val="000000"/>
          <w:sz w:val="24"/>
          <w:szCs w:val="24"/>
        </w:rPr>
        <w:t>applying,</w:t>
      </w:r>
      <w:r>
        <w:rPr>
          <w:rStyle w:val="apple-converted-space"/>
          <w:rFonts w:ascii="Times New Roman" w:hAnsi="Times New Roman" w:cs="Times New Roman"/>
          <w:color w:val="000000"/>
          <w:sz w:val="24"/>
          <w:szCs w:val="24"/>
        </w:rPr>
        <w:t xml:space="preserve"> </w:t>
      </w:r>
      <w:r w:rsidRPr="00230EC5">
        <w:rPr>
          <w:rFonts w:ascii="Times New Roman" w:hAnsi="Times New Roman" w:cs="Times New Roman"/>
          <w:i/>
          <w:iCs/>
          <w:color w:val="000000"/>
          <w:sz w:val="24"/>
          <w:szCs w:val="24"/>
        </w:rPr>
        <w:t>understanding</w:t>
      </w:r>
      <w:r w:rsidRPr="00230EC5">
        <w:rPr>
          <w:rStyle w:val="apple-converted-space"/>
          <w:rFonts w:ascii="Times New Roman" w:hAnsi="Times New Roman" w:cs="Times New Roman"/>
          <w:color w:val="000000"/>
          <w:sz w:val="24"/>
          <w:szCs w:val="24"/>
        </w:rPr>
        <w:t> </w:t>
      </w:r>
      <w:r w:rsidRPr="00230EC5">
        <w:rPr>
          <w:rFonts w:ascii="Times New Roman" w:hAnsi="Times New Roman" w:cs="Times New Roman"/>
          <w:color w:val="000000"/>
          <w:sz w:val="24"/>
          <w:szCs w:val="24"/>
        </w:rPr>
        <w:t>and</w:t>
      </w:r>
      <w:r w:rsidRPr="00230EC5">
        <w:rPr>
          <w:rStyle w:val="apple-converted-space"/>
          <w:rFonts w:ascii="Times New Roman" w:hAnsi="Times New Roman" w:cs="Times New Roman"/>
          <w:color w:val="000000"/>
          <w:sz w:val="24"/>
          <w:szCs w:val="24"/>
        </w:rPr>
        <w:t> </w:t>
      </w:r>
      <w:r w:rsidRPr="00230EC5">
        <w:rPr>
          <w:rFonts w:ascii="Times New Roman" w:hAnsi="Times New Roman" w:cs="Times New Roman"/>
          <w:i/>
          <w:iCs/>
          <w:color w:val="000000"/>
          <w:sz w:val="24"/>
          <w:szCs w:val="24"/>
        </w:rPr>
        <w:t>remembering</w:t>
      </w:r>
      <w:r w:rsidRPr="00230EC5">
        <w:rPr>
          <w:rFonts w:ascii="Times New Roman" w:hAnsi="Times New Roman" w:cs="Times New Roman"/>
          <w:color w:val="000000"/>
          <w:sz w:val="24"/>
          <w:szCs w:val="24"/>
        </w:rPr>
        <w:t>. This approach does not produce good mathematics (or physics) students. For example, a diff</w:t>
      </w:r>
      <w:r>
        <w:rPr>
          <w:rFonts w:ascii="Times New Roman" w:hAnsi="Times New Roman" w:cs="Times New Roman"/>
          <w:color w:val="000000"/>
          <w:sz w:val="24"/>
          <w:szCs w:val="24"/>
        </w:rPr>
        <w:t>icult maths/physics problem could</w:t>
      </w:r>
      <w:r w:rsidRPr="00230EC5">
        <w:rPr>
          <w:rFonts w:ascii="Times New Roman" w:hAnsi="Times New Roman" w:cs="Times New Roman"/>
          <w:color w:val="000000"/>
          <w:sz w:val="24"/>
          <w:szCs w:val="24"/>
        </w:rPr>
        <w:t xml:space="preserve"> be considered 'lower order', while an easy problem with some related creative writing attached, will be considered 'higher order'. The words "higher order thinking" sound good, but are clearly the wrong approach to the mathematical sciences. See also submissions 28 and 30.</w:t>
      </w:r>
    </w:p>
    <w:p w:rsidR="00230EC5" w:rsidRDefault="00230EC5" w:rsidP="00037498">
      <w:pPr>
        <w:rPr>
          <w:rFonts w:ascii="Times New Roman" w:hAnsi="Times New Roman" w:cs="Times New Roman"/>
          <w:color w:val="000000"/>
          <w:sz w:val="24"/>
          <w:szCs w:val="24"/>
        </w:rPr>
      </w:pPr>
    </w:p>
    <w:p w:rsidR="00230EC5" w:rsidRPr="00230EC5" w:rsidRDefault="00230EC5" w:rsidP="00037498">
      <w:pPr>
        <w:rPr>
          <w:rFonts w:ascii="Times New Roman" w:hAnsi="Times New Roman" w:cs="Times New Roman"/>
          <w:sz w:val="24"/>
          <w:szCs w:val="24"/>
          <w:lang w:eastAsia="en-AU"/>
        </w:rPr>
      </w:pPr>
      <w:r>
        <w:rPr>
          <w:rFonts w:ascii="Times New Roman" w:hAnsi="Times New Roman" w:cs="Times New Roman"/>
          <w:color w:val="000000"/>
          <w:sz w:val="24"/>
          <w:szCs w:val="24"/>
        </w:rPr>
        <w:t>In any case, a marks based system can easily be used to fairly assess any type of student skill or knowledge as is done in virtually every other education system in the world.</w:t>
      </w:r>
    </w:p>
    <w:p w:rsidR="00037498" w:rsidRDefault="00037498" w:rsidP="00037498">
      <w:pPr>
        <w:rPr>
          <w:rFonts w:ascii="Times New Roman" w:hAnsi="Times New Roman" w:cs="Times New Roman"/>
          <w:color w:val="000000"/>
          <w:sz w:val="24"/>
          <w:szCs w:val="24"/>
          <w:lang w:eastAsia="en-AU"/>
        </w:rPr>
      </w:pPr>
    </w:p>
    <w:p w:rsidR="00037498" w:rsidRPr="00525534" w:rsidRDefault="00037498" w:rsidP="00037498">
      <w:pPr>
        <w:rPr>
          <w:rFonts w:ascii="Times New Roman" w:hAnsi="Times New Roman" w:cs="Times New Roman"/>
          <w:color w:val="000000"/>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t>False Claim 14</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"We used marks exclusively during the seventies... One of the problems with the system was that when teachers gathered in moderation meetings...they would compare their percentages or compare their marks. What was missing was a standard."</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Mr Jordan, 7 March, page 8</w:t>
      </w:r>
    </w:p>
    <w:p w:rsidR="00037498" w:rsidRDefault="00037498" w:rsidP="00037498">
      <w:pPr>
        <w:rPr>
          <w:rFonts w:ascii="Times New Roman" w:hAnsi="Times New Roman" w:cs="Times New Roman"/>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sz w:val="24"/>
          <w:szCs w:val="24"/>
          <w:lang w:eastAsia="en-AU"/>
        </w:rPr>
        <w:t>What was missing was a common, state-wide</w:t>
      </w:r>
      <w:r>
        <w:rPr>
          <w:rFonts w:ascii="Times New Roman" w:hAnsi="Times New Roman" w:cs="Times New Roman"/>
          <w:sz w:val="24"/>
          <w:szCs w:val="24"/>
          <w:lang w:eastAsia="en-AU"/>
        </w:rPr>
        <w:t>,</w:t>
      </w:r>
      <w:r w:rsidRPr="00525534">
        <w:rPr>
          <w:rFonts w:ascii="Times New Roman" w:hAnsi="Times New Roman" w:cs="Times New Roman"/>
          <w:sz w:val="24"/>
          <w:szCs w:val="24"/>
          <w:lang w:eastAsia="en-AU"/>
        </w:rPr>
        <w:t xml:space="preserve"> exam to assist in comparing results. Tables of paragraphs (which QSA call 'standards') do not help with this task.</w:t>
      </w:r>
    </w:p>
    <w:p w:rsidR="00037498" w:rsidRDefault="00037498" w:rsidP="00037498">
      <w:pPr>
        <w:rPr>
          <w:rFonts w:ascii="Times New Roman" w:hAnsi="Times New Roman" w:cs="Times New Roman"/>
          <w:b/>
          <w:sz w:val="24"/>
          <w:szCs w:val="24"/>
          <w:lang w:eastAsia="en-AU"/>
        </w:rPr>
      </w:pPr>
    </w:p>
    <w:p w:rsidR="00037498" w:rsidRPr="00525534" w:rsidRDefault="00037498" w:rsidP="00037498">
      <w:pPr>
        <w:rPr>
          <w:rFonts w:ascii="Times New Roman" w:hAnsi="Times New Roman" w:cs="Times New Roman"/>
          <w:b/>
          <w:sz w:val="24"/>
          <w:szCs w:val="24"/>
          <w:lang w:eastAsia="en-AU"/>
        </w:rPr>
      </w:pPr>
      <w:r w:rsidRPr="00525534">
        <w:rPr>
          <w:rFonts w:ascii="Times New Roman" w:hAnsi="Times New Roman" w:cs="Times New Roman"/>
          <w:b/>
          <w:sz w:val="24"/>
          <w:szCs w:val="24"/>
          <w:lang w:eastAsia="en-AU"/>
        </w:rPr>
        <w:t>False Claim 15</w:t>
      </w:r>
    </w:p>
    <w:p w:rsidR="00037498" w:rsidRPr="00525534" w:rsidRDefault="00037498" w:rsidP="00037498">
      <w:pPr>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"The authority has learning area reference groups which are around courses of work—for example the mathematics learning area reference group—and on those groups are academics. On the mathematics learning area reference group we have Dr Joe Grotowski, the head of the mathematics faculty at the University of Queensland. I had asked this deliberate question of that particular academic around the maths B and maths C syllabus in light of comments that have been made: are these appropriate syllabuses for students in their preparation for university? As I said in my presentation, he clearly said they are appropriate for tertiary study."</w:t>
      </w:r>
    </w:p>
    <w:p w:rsidR="00037498" w:rsidRPr="00525534" w:rsidRDefault="00037498" w:rsidP="00037498">
      <w:pPr>
        <w:jc w:val="right"/>
        <w:rPr>
          <w:rFonts w:ascii="Times New Roman" w:hAnsi="Times New Roman" w:cs="Times New Roman"/>
          <w:i/>
          <w:color w:val="000000" w:themeColor="text1"/>
          <w:sz w:val="24"/>
          <w:szCs w:val="24"/>
          <w:lang w:eastAsia="en-AU"/>
        </w:rPr>
      </w:pPr>
      <w:r w:rsidRPr="00525534">
        <w:rPr>
          <w:rFonts w:ascii="Times New Roman" w:hAnsi="Times New Roman" w:cs="Times New Roman"/>
          <w:i/>
          <w:color w:val="000000" w:themeColor="text1"/>
          <w:sz w:val="24"/>
          <w:szCs w:val="24"/>
          <w:lang w:eastAsia="en-AU"/>
        </w:rPr>
        <w:t>- Mrs Walton, 7 March, page 10</w:t>
      </w:r>
    </w:p>
    <w:p w:rsidR="00037498" w:rsidRDefault="00037498" w:rsidP="00037498">
      <w:pPr>
        <w:rPr>
          <w:rFonts w:ascii="Times New Roman" w:hAnsi="Times New Roman" w:cs="Times New Roman"/>
          <w:sz w:val="24"/>
          <w:szCs w:val="24"/>
          <w:lang w:eastAsia="en-AU"/>
        </w:rPr>
      </w:pPr>
    </w:p>
    <w:p w:rsidR="00037498" w:rsidRPr="00525534" w:rsidRDefault="00037498" w:rsidP="00037498">
      <w:pPr>
        <w:rPr>
          <w:rFonts w:ascii="Times New Roman" w:hAnsi="Times New Roman" w:cs="Times New Roman"/>
          <w:sz w:val="24"/>
          <w:szCs w:val="24"/>
          <w:lang w:eastAsia="en-AU"/>
        </w:rPr>
      </w:pPr>
      <w:r w:rsidRPr="00525534">
        <w:rPr>
          <w:rFonts w:ascii="Times New Roman" w:hAnsi="Times New Roman" w:cs="Times New Roman"/>
          <w:sz w:val="24"/>
          <w:szCs w:val="24"/>
          <w:lang w:eastAsia="en-AU"/>
        </w:rPr>
        <w:t>Prof Grotowski only endorsed the mathematical topics listed in the syllabus. He did not endorse the assessment methods, or the other educational sections contained within the syllabus. See also False Claim 17 and Prof Grotowski's  comments, 22 May, pages 28 and 30.</w:t>
      </w:r>
    </w:p>
    <w:p w:rsidR="00037498" w:rsidRPr="00525534" w:rsidRDefault="00037498" w:rsidP="00037498">
      <w:pPr>
        <w:jc w:val="right"/>
        <w:rPr>
          <w:rFonts w:ascii="Times New Roman" w:hAnsi="Times New Roman" w:cs="Times New Roman"/>
          <w:color w:val="000000"/>
          <w:sz w:val="24"/>
          <w:szCs w:val="24"/>
          <w:lang w:eastAsia="en-AU"/>
        </w:rPr>
      </w:pPr>
    </w:p>
    <w:p w:rsidR="00037498" w:rsidRPr="00525534" w:rsidRDefault="00037498" w:rsidP="00037498">
      <w:pPr>
        <w:rPr>
          <w:rFonts w:ascii="Times New Roman" w:hAnsi="Times New Roman" w:cs="Times New Roman"/>
          <w:sz w:val="24"/>
          <w:szCs w:val="24"/>
        </w:rPr>
      </w:pPr>
    </w:p>
    <w:p w:rsidR="00037498" w:rsidRDefault="00037498">
      <w:pPr>
        <w:rPr>
          <w:b/>
          <w:sz w:val="20"/>
          <w:lang w:eastAsia="en-AU"/>
        </w:rPr>
      </w:pPr>
      <w:r>
        <w:rPr>
          <w:b/>
          <w:sz w:val="20"/>
          <w:lang w:eastAsia="en-AU"/>
        </w:rPr>
        <w:br w:type="page"/>
      </w:r>
    </w:p>
    <w:p w:rsidR="00037498" w:rsidRPr="009A666A" w:rsidRDefault="00037498" w:rsidP="00037498">
      <w:pPr>
        <w:rPr>
          <w:rFonts w:ascii="Times New Roman" w:hAnsi="Times New Roman" w:cs="Times New Roman"/>
          <w:b/>
          <w:sz w:val="32"/>
          <w:szCs w:val="32"/>
        </w:rPr>
      </w:pPr>
      <w:r w:rsidRPr="009A666A">
        <w:rPr>
          <w:rFonts w:ascii="Times New Roman" w:hAnsi="Times New Roman" w:cs="Times New Roman"/>
          <w:b/>
          <w:sz w:val="32"/>
          <w:szCs w:val="32"/>
          <w:u w:val="single"/>
        </w:rPr>
        <w:lastRenderedPageBreak/>
        <w:t>Appendix B</w:t>
      </w:r>
      <w:r w:rsidRPr="009A666A">
        <w:rPr>
          <w:rFonts w:ascii="Times New Roman" w:hAnsi="Times New Roman" w:cs="Times New Roman"/>
          <w:b/>
          <w:sz w:val="32"/>
          <w:szCs w:val="32"/>
        </w:rPr>
        <w:t xml:space="preserve"> </w:t>
      </w:r>
    </w:p>
    <w:p w:rsidR="00037498" w:rsidRPr="0057755B" w:rsidRDefault="00037498" w:rsidP="00037498">
      <w:pPr>
        <w:jc w:val="center"/>
        <w:rPr>
          <w:rFonts w:ascii="Times New Roman" w:hAnsi="Times New Roman" w:cs="Times New Roman"/>
          <w:b/>
          <w:sz w:val="32"/>
          <w:szCs w:val="32"/>
        </w:rPr>
      </w:pPr>
      <w:r w:rsidRPr="0057755B">
        <w:rPr>
          <w:rFonts w:ascii="Times New Roman" w:hAnsi="Times New Roman" w:cs="Times New Roman"/>
          <w:b/>
          <w:sz w:val="32"/>
          <w:szCs w:val="32"/>
        </w:rPr>
        <w:t>Evidence of low standards of Queensland school graduates from discipline experts.</w:t>
      </w:r>
    </w:p>
    <w:p w:rsidR="00037498" w:rsidRPr="00525534" w:rsidRDefault="00037498" w:rsidP="00037498">
      <w:pPr>
        <w:rPr>
          <w:rFonts w:ascii="Times New Roman" w:hAnsi="Times New Roman" w:cs="Times New Roman"/>
          <w:sz w:val="24"/>
          <w:szCs w:val="24"/>
          <w:lang w:val="en-US"/>
        </w:rPr>
      </w:pPr>
      <w:r w:rsidRPr="00525534">
        <w:rPr>
          <w:rFonts w:ascii="Times New Roman" w:hAnsi="Times New Roman" w:cs="Times New Roman"/>
          <w:sz w:val="24"/>
          <w:szCs w:val="24"/>
          <w:lang w:val="en-US"/>
        </w:rPr>
        <w:t xml:space="preserve">“Both of us have long experience in teaching tertiary mathematics, not just to mathematicians but to economists, to scientists in general, to business students and </w:t>
      </w:r>
      <w:r w:rsidRPr="00525534">
        <w:rPr>
          <w:rFonts w:ascii="Times New Roman" w:hAnsi="Times New Roman" w:cs="Times New Roman"/>
          <w:color w:val="000000"/>
          <w:sz w:val="24"/>
          <w:szCs w:val="24"/>
          <w:lang w:val="en-US"/>
        </w:rPr>
        <w:t>to all sorts of students in service courses and</w:t>
      </w:r>
      <w:r w:rsidRPr="00525534">
        <w:rPr>
          <w:rFonts w:ascii="Times New Roman" w:hAnsi="Times New Roman" w:cs="Times New Roman"/>
          <w:sz w:val="24"/>
          <w:szCs w:val="24"/>
          <w:lang w:val="en-US"/>
        </w:rPr>
        <w:t xml:space="preserve"> specialised courses as well. </w:t>
      </w:r>
    </w:p>
    <w:p w:rsidR="00037498" w:rsidRPr="00525534" w:rsidRDefault="00037498" w:rsidP="00037498">
      <w:pPr>
        <w:rPr>
          <w:rFonts w:ascii="Times New Roman" w:hAnsi="Times New Roman" w:cs="Times New Roman"/>
          <w:sz w:val="24"/>
          <w:szCs w:val="24"/>
          <w:lang w:val="en-US"/>
        </w:rPr>
      </w:pPr>
      <w:r w:rsidRPr="00525534">
        <w:rPr>
          <w:rFonts w:ascii="Times New Roman" w:hAnsi="Times New Roman" w:cs="Times New Roman"/>
          <w:sz w:val="24"/>
          <w:szCs w:val="24"/>
          <w:lang w:val="en-US"/>
        </w:rPr>
        <w:t>What we see is a large and increasingly larger cohort of students coming in with a sound achievement in maths B who do not have sufficient mastery of these mathematical techniques and content... We are talking about students who are going to become engineers who are going to be building our bridges; we are talking about biology students as well. They simply do not have the mathematic content and skills at a sufficient level, so there is a disconnect happening here. ...</w:t>
      </w:r>
    </w:p>
    <w:p w:rsidR="00037498" w:rsidRPr="00525534" w:rsidRDefault="00037498" w:rsidP="00037498">
      <w:pPr>
        <w:rPr>
          <w:rFonts w:ascii="Times New Roman" w:hAnsi="Times New Roman" w:cs="Times New Roman"/>
          <w:sz w:val="24"/>
          <w:szCs w:val="24"/>
        </w:rPr>
      </w:pPr>
      <w:r w:rsidRPr="00525534">
        <w:rPr>
          <w:rFonts w:ascii="Times New Roman" w:hAnsi="Times New Roman" w:cs="Times New Roman"/>
          <w:sz w:val="24"/>
          <w:szCs w:val="24"/>
          <w:lang w:val="en-US"/>
        </w:rPr>
        <w:t>In summary, from our submission, we have students entering tertiary study with weak mathematical skills despite the fact that they are getting an SA or better in maths B. Numerical marking schemes can and do pick out the criteria for assessment very well, and we believe that they should be supported and encouraged.”</w:t>
      </w:r>
    </w:p>
    <w:p w:rsidR="00037498" w:rsidRPr="00525534" w:rsidRDefault="00037498" w:rsidP="00037498">
      <w:pPr>
        <w:ind w:firstLine="720"/>
        <w:jc w:val="right"/>
        <w:rPr>
          <w:rFonts w:ascii="Times New Roman" w:hAnsi="Times New Roman" w:cs="Times New Roman"/>
          <w:sz w:val="24"/>
          <w:szCs w:val="24"/>
        </w:rPr>
      </w:pPr>
      <w:r w:rsidRPr="00525534">
        <w:rPr>
          <w:rFonts w:ascii="Times New Roman" w:hAnsi="Times New Roman" w:cs="Times New Roman"/>
          <w:b/>
          <w:sz w:val="24"/>
          <w:szCs w:val="24"/>
        </w:rPr>
        <w:t>Prof Joe Grotowski, Head of Mathematics, UQ</w:t>
      </w:r>
      <w:r w:rsidRPr="00525534">
        <w:rPr>
          <w:rFonts w:ascii="Times New Roman" w:hAnsi="Times New Roman" w:cs="Times New Roman"/>
          <w:sz w:val="24"/>
          <w:szCs w:val="24"/>
        </w:rPr>
        <w:t xml:space="preserve"> (Transcript 22 May)</w:t>
      </w:r>
    </w:p>
    <w:p w:rsidR="00037498" w:rsidRPr="00525534" w:rsidRDefault="00037498" w:rsidP="00037498">
      <w:pPr>
        <w:ind w:firstLine="720"/>
        <w:jc w:val="right"/>
        <w:rPr>
          <w:rFonts w:ascii="Times New Roman" w:hAnsi="Times New Roman" w:cs="Times New Roman"/>
          <w:sz w:val="24"/>
          <w:szCs w:val="24"/>
        </w:rPr>
      </w:pPr>
    </w:p>
    <w:p w:rsidR="00037498" w:rsidRPr="00525534" w:rsidRDefault="00037498" w:rsidP="00037498">
      <w:pPr>
        <w:ind w:firstLine="720"/>
        <w:jc w:val="right"/>
        <w:rPr>
          <w:rFonts w:ascii="Times New Roman" w:hAnsi="Times New Roman" w:cs="Times New Roman"/>
          <w:sz w:val="24"/>
          <w:szCs w:val="24"/>
        </w:rPr>
      </w:pPr>
    </w:p>
    <w:p w:rsidR="00037498" w:rsidRPr="00525534" w:rsidRDefault="00037498" w:rsidP="000374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US"/>
        </w:rPr>
      </w:pPr>
      <w:r w:rsidRPr="00525534">
        <w:rPr>
          <w:rFonts w:ascii="Times New Roman" w:hAnsi="Times New Roman" w:cs="Times New Roman"/>
          <w:color w:val="000000"/>
          <w:sz w:val="24"/>
          <w:szCs w:val="24"/>
          <w:lang w:val="en-US"/>
        </w:rPr>
        <w:t>"... there are many students entering tertiary study, with at least a Sound Achievement in Mathematics B and/or C, whose skills and knowledge is very weak, and not consistent with any particular mastery of the mathematical content and knowledge identified in the syllabi. We expressed this view very clearly in both meetings with the QSA. It is also our expert view that the number and proportion of such students has increased dramatically in recent years.</w:t>
      </w:r>
    </w:p>
    <w:p w:rsidR="00037498" w:rsidRPr="00525534" w:rsidRDefault="00037498" w:rsidP="000374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US"/>
        </w:rPr>
      </w:pPr>
      <w:r w:rsidRPr="00525534">
        <w:rPr>
          <w:rFonts w:ascii="Times New Roman" w:hAnsi="Times New Roman" w:cs="Times New Roman"/>
          <w:color w:val="000000"/>
          <w:sz w:val="24"/>
          <w:szCs w:val="24"/>
          <w:lang w:val="en-US"/>
        </w:rPr>
        <w:t>Indeed, in a substantial number of cases, students appear to be incapable of demonstrating proficiency at some mathematical techniques that are covered prior to Year 11. This observation is shared by colleagues in mathematics departments at other universities in Queensland, and is particularly alarming.</w:t>
      </w:r>
    </w:p>
    <w:p w:rsidR="00037498" w:rsidRPr="00525534" w:rsidRDefault="00037498" w:rsidP="00037498">
      <w:pPr>
        <w:rPr>
          <w:rFonts w:ascii="Times New Roman" w:hAnsi="Times New Roman" w:cs="Times New Roman"/>
          <w:sz w:val="24"/>
          <w:szCs w:val="24"/>
          <w:lang w:val="en-US"/>
        </w:rPr>
      </w:pPr>
      <w:r w:rsidRPr="00525534">
        <w:rPr>
          <w:rFonts w:ascii="Times New Roman" w:hAnsi="Times New Roman" w:cs="Times New Roman"/>
          <w:color w:val="000000"/>
          <w:sz w:val="24"/>
          <w:szCs w:val="24"/>
          <w:lang w:val="en-US"/>
        </w:rPr>
        <w:t>This suggests that there is a significant mismatch between what is being identified as a Sound Achievement in mathematics by the secondary education system, and what we would understand as a sufficient understanding and mastery of the mathematics that is being taught."</w:t>
      </w:r>
    </w:p>
    <w:p w:rsidR="00037498" w:rsidRPr="00525534" w:rsidRDefault="00037498" w:rsidP="00037498">
      <w:pPr>
        <w:jc w:val="right"/>
        <w:rPr>
          <w:rFonts w:ascii="Times New Roman" w:hAnsi="Times New Roman" w:cs="Times New Roman"/>
          <w:sz w:val="24"/>
          <w:szCs w:val="24"/>
          <w:lang w:val="en-US"/>
        </w:rPr>
      </w:pPr>
      <w:r w:rsidRPr="00525534">
        <w:rPr>
          <w:rFonts w:ascii="Times New Roman" w:hAnsi="Times New Roman" w:cs="Times New Roman"/>
          <w:b/>
          <w:sz w:val="24"/>
          <w:szCs w:val="24"/>
          <w:lang w:val="en-US"/>
        </w:rPr>
        <w:t>Prof Joe Grotowski, Head of Mathematics</w:t>
      </w:r>
      <w:r w:rsidRPr="00525534">
        <w:rPr>
          <w:rFonts w:ascii="Times New Roman" w:hAnsi="Times New Roman" w:cs="Times New Roman"/>
          <w:sz w:val="24"/>
          <w:szCs w:val="24"/>
          <w:lang w:val="en-US"/>
        </w:rPr>
        <w:t xml:space="preserve"> and </w:t>
      </w:r>
      <w:r w:rsidRPr="00525534">
        <w:rPr>
          <w:rFonts w:ascii="Times New Roman" w:hAnsi="Times New Roman" w:cs="Times New Roman"/>
          <w:b/>
          <w:sz w:val="24"/>
          <w:szCs w:val="24"/>
          <w:lang w:val="en-US"/>
        </w:rPr>
        <w:t>Prof Peter Adams</w:t>
      </w:r>
      <w:r w:rsidRPr="00525534">
        <w:rPr>
          <w:rFonts w:ascii="Times New Roman" w:hAnsi="Times New Roman" w:cs="Times New Roman"/>
          <w:sz w:val="24"/>
          <w:szCs w:val="24"/>
          <w:lang w:val="en-US"/>
        </w:rPr>
        <w:t>,</w:t>
      </w:r>
    </w:p>
    <w:p w:rsidR="00037498" w:rsidRPr="00525534" w:rsidRDefault="00037498" w:rsidP="00037498">
      <w:pPr>
        <w:jc w:val="right"/>
        <w:rPr>
          <w:rFonts w:ascii="Times New Roman" w:hAnsi="Times New Roman" w:cs="Times New Roman"/>
          <w:sz w:val="24"/>
          <w:szCs w:val="24"/>
          <w:lang w:val="en-US"/>
        </w:rPr>
      </w:pPr>
      <w:r w:rsidRPr="00525534">
        <w:rPr>
          <w:rFonts w:ascii="Times New Roman" w:hAnsi="Times New Roman" w:cs="Times New Roman"/>
          <w:sz w:val="24"/>
          <w:szCs w:val="24"/>
          <w:lang w:val="en-US"/>
        </w:rPr>
        <w:t xml:space="preserve"> </w:t>
      </w:r>
      <w:r w:rsidRPr="00525534">
        <w:rPr>
          <w:rFonts w:ascii="Times New Roman" w:hAnsi="Times New Roman" w:cs="Times New Roman"/>
          <w:b/>
          <w:bCs/>
          <w:sz w:val="24"/>
          <w:szCs w:val="24"/>
          <w:lang w:val="en-US"/>
        </w:rPr>
        <w:t>Associate Dean (Academic), Faculty of Science</w:t>
      </w:r>
      <w:r w:rsidRPr="00525534">
        <w:rPr>
          <w:rFonts w:ascii="Times New Roman" w:hAnsi="Times New Roman" w:cs="Times New Roman"/>
          <w:sz w:val="24"/>
          <w:szCs w:val="24"/>
          <w:lang w:val="en-US"/>
        </w:rPr>
        <w:t xml:space="preserve"> (submission 220)</w:t>
      </w:r>
    </w:p>
    <w:p w:rsidR="00037498" w:rsidRPr="00525534" w:rsidRDefault="00037498" w:rsidP="00037498">
      <w:pPr>
        <w:rPr>
          <w:rFonts w:ascii="Times New Roman" w:hAnsi="Times New Roman" w:cs="Times New Roman"/>
          <w:sz w:val="24"/>
          <w:szCs w:val="24"/>
        </w:rPr>
      </w:pPr>
    </w:p>
    <w:p w:rsidR="00037498" w:rsidRPr="00525534" w:rsidRDefault="00037498" w:rsidP="00037498">
      <w:pPr>
        <w:rPr>
          <w:rFonts w:ascii="Times New Roman" w:hAnsi="Times New Roman" w:cs="Times New Roman"/>
          <w:sz w:val="24"/>
          <w:szCs w:val="24"/>
        </w:rPr>
      </w:pPr>
      <w:r w:rsidRPr="00525534">
        <w:rPr>
          <w:rFonts w:ascii="Times New Roman" w:hAnsi="Times New Roman" w:cs="Times New Roman"/>
          <w:sz w:val="24"/>
          <w:szCs w:val="24"/>
        </w:rPr>
        <w:t>"Furthermore, with regard to algebra skills, it was found that fewer than 50% could successfully solve a simple equation."</w:t>
      </w:r>
    </w:p>
    <w:p w:rsidR="00037498" w:rsidRPr="00525534" w:rsidRDefault="00037498" w:rsidP="00037498">
      <w:pPr>
        <w:jc w:val="right"/>
        <w:rPr>
          <w:rFonts w:ascii="Times New Roman" w:hAnsi="Times New Roman" w:cs="Times New Roman"/>
          <w:sz w:val="24"/>
          <w:szCs w:val="24"/>
        </w:rPr>
      </w:pPr>
      <w:r w:rsidRPr="00525534">
        <w:rPr>
          <w:rFonts w:ascii="Times New Roman" w:hAnsi="Times New Roman" w:cs="Times New Roman"/>
          <w:b/>
          <w:sz w:val="24"/>
          <w:szCs w:val="24"/>
        </w:rPr>
        <w:t>Prof Ian Turner, Head, Mathematical Sciences School, QUT</w:t>
      </w:r>
      <w:r w:rsidRPr="00525534">
        <w:rPr>
          <w:rFonts w:ascii="Times New Roman" w:hAnsi="Times New Roman" w:cs="Times New Roman"/>
          <w:sz w:val="24"/>
          <w:szCs w:val="24"/>
        </w:rPr>
        <w:t xml:space="preserve"> (submission 266)</w:t>
      </w:r>
    </w:p>
    <w:p w:rsidR="00037498" w:rsidRPr="00525534" w:rsidRDefault="00037498" w:rsidP="00037498">
      <w:pPr>
        <w:rPr>
          <w:rFonts w:ascii="Times New Roman" w:hAnsi="Times New Roman" w:cs="Times New Roman"/>
          <w:sz w:val="24"/>
          <w:szCs w:val="24"/>
        </w:rPr>
      </w:pPr>
    </w:p>
    <w:p w:rsidR="00037498" w:rsidRPr="00525534" w:rsidRDefault="00037498" w:rsidP="00037498">
      <w:pPr>
        <w:jc w:val="both"/>
        <w:rPr>
          <w:rFonts w:ascii="Times New Roman" w:hAnsi="Times New Roman" w:cs="Times New Roman"/>
          <w:color w:val="000000"/>
          <w:sz w:val="24"/>
          <w:szCs w:val="24"/>
          <w:lang w:val="en-US"/>
        </w:rPr>
      </w:pPr>
      <w:r w:rsidRPr="00525534">
        <w:rPr>
          <w:rFonts w:ascii="Times New Roman" w:hAnsi="Times New Roman" w:cs="Times New Roman"/>
          <w:color w:val="000000"/>
          <w:sz w:val="24"/>
          <w:szCs w:val="24"/>
          <w:lang w:val="en-US"/>
        </w:rPr>
        <w:t>"Unfortunately, most students arriving at The University of Queensland to study degrees in science or engineering, do not have fundamental (high school) mathematics skills required for these degrees. Many of these students even do not know the times-tables, or how to add fractions."</w:t>
      </w:r>
    </w:p>
    <w:p w:rsidR="00037498" w:rsidRPr="00525534" w:rsidRDefault="00037498" w:rsidP="00037498">
      <w:pPr>
        <w:jc w:val="right"/>
        <w:rPr>
          <w:rFonts w:ascii="Times New Roman" w:hAnsi="Times New Roman" w:cs="Times New Roman"/>
          <w:color w:val="000000"/>
          <w:sz w:val="24"/>
          <w:szCs w:val="24"/>
          <w:lang w:val="en-US"/>
        </w:rPr>
      </w:pPr>
      <w:r w:rsidRPr="00525534">
        <w:rPr>
          <w:rFonts w:ascii="Times New Roman" w:hAnsi="Times New Roman" w:cs="Times New Roman"/>
          <w:b/>
          <w:color w:val="000000"/>
          <w:sz w:val="24"/>
          <w:szCs w:val="24"/>
          <w:lang w:val="en-US"/>
        </w:rPr>
        <w:t>Dr Matthew Dean</w:t>
      </w:r>
      <w:r w:rsidRPr="00525534">
        <w:rPr>
          <w:rFonts w:ascii="Times New Roman" w:hAnsi="Times New Roman" w:cs="Times New Roman"/>
          <w:color w:val="000000"/>
          <w:sz w:val="24"/>
          <w:szCs w:val="24"/>
          <w:lang w:val="en-US"/>
        </w:rPr>
        <w:t xml:space="preserve"> (submission 28)</w:t>
      </w:r>
    </w:p>
    <w:p w:rsidR="00037498" w:rsidRPr="00525534" w:rsidRDefault="00037498" w:rsidP="00037498">
      <w:pPr>
        <w:jc w:val="both"/>
        <w:rPr>
          <w:rFonts w:ascii="Times New Roman" w:hAnsi="Times New Roman" w:cs="Times New Roman"/>
          <w:color w:val="000000"/>
          <w:sz w:val="24"/>
          <w:szCs w:val="24"/>
          <w:lang w:val="en-US"/>
        </w:rPr>
      </w:pPr>
    </w:p>
    <w:p w:rsidR="00037498" w:rsidRPr="00525534" w:rsidRDefault="00037498" w:rsidP="00037498">
      <w:pPr>
        <w:jc w:val="both"/>
        <w:rPr>
          <w:rFonts w:ascii="Times New Roman" w:hAnsi="Times New Roman" w:cs="Times New Roman"/>
          <w:sz w:val="24"/>
          <w:szCs w:val="24"/>
        </w:rPr>
      </w:pPr>
      <w:r w:rsidRPr="00525534">
        <w:rPr>
          <w:rFonts w:ascii="Times New Roman" w:hAnsi="Times New Roman" w:cs="Times New Roman"/>
          <w:color w:val="000000"/>
          <w:sz w:val="24"/>
          <w:szCs w:val="24"/>
          <w:lang w:val="en-US"/>
        </w:rPr>
        <w:t>"What I have seen of first-year students as I have been lecturing is that they have been exposed to the relevant mathematics topics but they cannot do them, and that is demoralising for students."</w:t>
      </w:r>
    </w:p>
    <w:p w:rsidR="00037498" w:rsidRPr="00525534" w:rsidRDefault="00037498" w:rsidP="00037498">
      <w:pPr>
        <w:jc w:val="right"/>
        <w:rPr>
          <w:rFonts w:ascii="Times New Roman" w:hAnsi="Times New Roman" w:cs="Times New Roman"/>
          <w:color w:val="000000"/>
          <w:sz w:val="24"/>
          <w:szCs w:val="24"/>
          <w:lang w:val="en-US"/>
        </w:rPr>
      </w:pPr>
      <w:r w:rsidRPr="00525534">
        <w:rPr>
          <w:rFonts w:ascii="Times New Roman" w:hAnsi="Times New Roman" w:cs="Times New Roman"/>
          <w:b/>
          <w:color w:val="000000"/>
          <w:sz w:val="24"/>
          <w:szCs w:val="24"/>
          <w:lang w:val="en-US"/>
        </w:rPr>
        <w:t>Dr Matthew Dean</w:t>
      </w:r>
      <w:r w:rsidRPr="00525534">
        <w:rPr>
          <w:rFonts w:ascii="Times New Roman" w:hAnsi="Times New Roman" w:cs="Times New Roman"/>
          <w:color w:val="000000"/>
          <w:sz w:val="24"/>
          <w:szCs w:val="24"/>
          <w:lang w:val="en-US"/>
        </w:rPr>
        <w:t>, Transcript 22 May</w:t>
      </w:r>
    </w:p>
    <w:p w:rsidR="00037498" w:rsidRPr="00525534" w:rsidRDefault="00037498" w:rsidP="00037498">
      <w:pPr>
        <w:rPr>
          <w:rFonts w:ascii="Times New Roman" w:hAnsi="Times New Roman" w:cs="Times New Roman"/>
          <w:sz w:val="24"/>
          <w:szCs w:val="24"/>
        </w:rPr>
      </w:pPr>
    </w:p>
    <w:p w:rsidR="00037498" w:rsidRPr="00525534" w:rsidRDefault="0057755B" w:rsidP="00037498">
      <w:pPr>
        <w:rPr>
          <w:rFonts w:ascii="Times New Roman" w:hAnsi="Times New Roman" w:cs="Times New Roman"/>
          <w:sz w:val="24"/>
          <w:szCs w:val="24"/>
        </w:rPr>
      </w:pPr>
      <w:r>
        <w:rPr>
          <w:rFonts w:ascii="Times New Roman" w:hAnsi="Times New Roman" w:cs="Times New Roman"/>
          <w:sz w:val="24"/>
          <w:szCs w:val="24"/>
        </w:rPr>
        <w:t xml:space="preserve">We have been advised by </w:t>
      </w:r>
      <w:r w:rsidR="00037498" w:rsidRPr="00525534">
        <w:rPr>
          <w:rFonts w:ascii="Times New Roman" w:hAnsi="Times New Roman" w:cs="Times New Roman"/>
          <w:sz w:val="24"/>
          <w:szCs w:val="24"/>
        </w:rPr>
        <w:t xml:space="preserve">Dr Shaun Belward (HOD Mathematics, JCU) </w:t>
      </w:r>
      <w:r>
        <w:rPr>
          <w:rFonts w:ascii="Times New Roman" w:hAnsi="Times New Roman" w:cs="Times New Roman"/>
          <w:sz w:val="24"/>
          <w:szCs w:val="24"/>
        </w:rPr>
        <w:t xml:space="preserve">that his submission </w:t>
      </w:r>
      <w:r w:rsidR="00037498" w:rsidRPr="00525534">
        <w:rPr>
          <w:rFonts w:ascii="Times New Roman" w:hAnsi="Times New Roman" w:cs="Times New Roman"/>
          <w:sz w:val="24"/>
          <w:szCs w:val="24"/>
        </w:rPr>
        <w:t>demonstrated that students with sound achievement in year 12 Maths B were unable to cope with year 10 standard questions.</w:t>
      </w:r>
    </w:p>
    <w:p w:rsidR="00037498" w:rsidRPr="00525534" w:rsidRDefault="00230EC5" w:rsidP="00717058">
      <w:pPr>
        <w:jc w:val="right"/>
        <w:rPr>
          <w:rFonts w:ascii="Times New Roman" w:hAnsi="Times New Roman" w:cs="Times New Roman"/>
          <w:sz w:val="24"/>
          <w:szCs w:val="24"/>
        </w:rPr>
      </w:pPr>
      <w:r>
        <w:rPr>
          <w:rFonts w:ascii="Times New Roman" w:hAnsi="Times New Roman" w:cs="Times New Roman"/>
          <w:sz w:val="24"/>
          <w:szCs w:val="24"/>
        </w:rPr>
        <w:t>Reported by</w:t>
      </w:r>
      <w:r w:rsidR="00037498" w:rsidRPr="00525534">
        <w:rPr>
          <w:rFonts w:ascii="Times New Roman" w:hAnsi="Times New Roman" w:cs="Times New Roman"/>
          <w:sz w:val="24"/>
          <w:szCs w:val="24"/>
        </w:rPr>
        <w:t xml:space="preserve"> </w:t>
      </w:r>
      <w:r w:rsidR="00037498" w:rsidRPr="00525534">
        <w:rPr>
          <w:rFonts w:ascii="Times New Roman" w:hAnsi="Times New Roman" w:cs="Times New Roman"/>
          <w:b/>
          <w:sz w:val="24"/>
          <w:szCs w:val="24"/>
        </w:rPr>
        <w:t>Prof Peter Ridd, HOD Physics, James Cook University</w:t>
      </w:r>
      <w:r w:rsidR="0057755B">
        <w:rPr>
          <w:rFonts w:ascii="Times New Roman" w:hAnsi="Times New Roman" w:cs="Times New Roman"/>
          <w:sz w:val="24"/>
          <w:szCs w:val="24"/>
        </w:rPr>
        <w:t xml:space="preserve"> (submission 98)</w:t>
      </w:r>
    </w:p>
    <w:p w:rsidR="00037498" w:rsidRPr="00525534" w:rsidRDefault="00037498" w:rsidP="00037498">
      <w:pPr>
        <w:rPr>
          <w:rFonts w:ascii="Times New Roman" w:hAnsi="Times New Roman" w:cs="Times New Roman"/>
          <w:sz w:val="24"/>
          <w:szCs w:val="24"/>
        </w:rPr>
      </w:pPr>
    </w:p>
    <w:p w:rsidR="00037498" w:rsidRPr="00525534" w:rsidRDefault="00037498" w:rsidP="00037498">
      <w:pPr>
        <w:rPr>
          <w:rFonts w:ascii="Times New Roman" w:hAnsi="Times New Roman" w:cs="Times New Roman"/>
          <w:b/>
          <w:sz w:val="24"/>
          <w:szCs w:val="24"/>
        </w:rPr>
      </w:pPr>
      <w:r w:rsidRPr="00525534">
        <w:rPr>
          <w:rFonts w:ascii="Times New Roman" w:hAnsi="Times New Roman" w:cs="Times New Roman"/>
          <w:color w:val="000000"/>
          <w:sz w:val="24"/>
          <w:szCs w:val="24"/>
          <w:lang w:val="en-US"/>
        </w:rPr>
        <w:t xml:space="preserve">"...the standards of students on entry to university are feeble, especially in Arithmetic and Algebra </w:t>
      </w:r>
      <w:r w:rsidRPr="00525534">
        <w:rPr>
          <w:rFonts w:ascii="Times New Roman" w:hAnsi="Times New Roman" w:cs="Times New Roman"/>
          <w:bCs/>
          <w:color w:val="000000"/>
          <w:sz w:val="24"/>
          <w:szCs w:val="24"/>
          <w:lang w:val="en-US"/>
        </w:rPr>
        <w:t>at the Year 10 level, i.e. students entering first year university with a sound achievement in year 12 maths B struggle with year 10 level mathematics."</w:t>
      </w:r>
    </w:p>
    <w:p w:rsidR="00037498" w:rsidRPr="00525534" w:rsidRDefault="00037498" w:rsidP="00037498">
      <w:pPr>
        <w:jc w:val="right"/>
        <w:rPr>
          <w:rFonts w:ascii="Times New Roman" w:hAnsi="Times New Roman" w:cs="Times New Roman"/>
          <w:sz w:val="24"/>
          <w:szCs w:val="24"/>
        </w:rPr>
      </w:pPr>
      <w:r w:rsidRPr="00525534">
        <w:rPr>
          <w:rFonts w:ascii="Times New Roman" w:hAnsi="Times New Roman" w:cs="Times New Roman"/>
          <w:b/>
          <w:sz w:val="24"/>
          <w:szCs w:val="24"/>
        </w:rPr>
        <w:t>Prof Peter Ridd, HOD Physics, James Cook University</w:t>
      </w:r>
      <w:r w:rsidR="0057755B">
        <w:rPr>
          <w:rFonts w:ascii="Times New Roman" w:hAnsi="Times New Roman" w:cs="Times New Roman"/>
          <w:sz w:val="24"/>
          <w:szCs w:val="24"/>
        </w:rPr>
        <w:t xml:space="preserve"> (submission 98</w:t>
      </w:r>
      <w:r w:rsidRPr="00525534">
        <w:rPr>
          <w:rFonts w:ascii="Times New Roman" w:hAnsi="Times New Roman" w:cs="Times New Roman"/>
          <w:sz w:val="24"/>
          <w:szCs w:val="24"/>
        </w:rPr>
        <w:t>)</w:t>
      </w:r>
    </w:p>
    <w:p w:rsidR="00037498" w:rsidRPr="00525534" w:rsidRDefault="00037498" w:rsidP="00037498">
      <w:pPr>
        <w:rPr>
          <w:rFonts w:ascii="Times New Roman" w:hAnsi="Times New Roman" w:cs="Times New Roman"/>
          <w:sz w:val="24"/>
          <w:szCs w:val="24"/>
        </w:rPr>
      </w:pPr>
    </w:p>
    <w:p w:rsidR="00037498" w:rsidRPr="00525534" w:rsidRDefault="00037498" w:rsidP="00037498">
      <w:pPr>
        <w:rPr>
          <w:rFonts w:ascii="Times New Roman" w:hAnsi="Times New Roman" w:cs="Times New Roman"/>
          <w:sz w:val="24"/>
          <w:szCs w:val="24"/>
          <w:lang w:val="en-US"/>
        </w:rPr>
      </w:pPr>
      <w:r w:rsidRPr="00525534">
        <w:rPr>
          <w:rFonts w:ascii="Times New Roman" w:hAnsi="Times New Roman" w:cs="Times New Roman"/>
          <w:sz w:val="24"/>
          <w:szCs w:val="24"/>
          <w:lang w:val="en-US"/>
        </w:rPr>
        <w:t>"Claims such as "world's best practice" in an educational setting are at best indefensible and at worst a snowjob intended to stifle discussion...</w:t>
      </w:r>
    </w:p>
    <w:p w:rsidR="00037498" w:rsidRPr="00525534" w:rsidRDefault="00037498" w:rsidP="00037498">
      <w:pPr>
        <w:rPr>
          <w:rFonts w:ascii="Times New Roman" w:hAnsi="Times New Roman" w:cs="Times New Roman"/>
          <w:sz w:val="24"/>
          <w:szCs w:val="24"/>
        </w:rPr>
      </w:pPr>
      <w:r w:rsidRPr="00525534">
        <w:rPr>
          <w:rFonts w:ascii="Times New Roman" w:hAnsi="Times New Roman" w:cs="Times New Roman"/>
          <w:sz w:val="24"/>
          <w:szCs w:val="24"/>
          <w:lang w:val="en-US"/>
        </w:rPr>
        <w:t>The way to proceed is to listen to the experienced teachers. Their accumulated knowledge is gold.”</w:t>
      </w:r>
    </w:p>
    <w:p w:rsidR="00037498" w:rsidRPr="00525534" w:rsidRDefault="00037498" w:rsidP="00037498">
      <w:pPr>
        <w:jc w:val="right"/>
        <w:rPr>
          <w:rFonts w:ascii="Times New Roman" w:hAnsi="Times New Roman" w:cs="Times New Roman"/>
          <w:sz w:val="24"/>
          <w:szCs w:val="24"/>
        </w:rPr>
      </w:pPr>
      <w:r w:rsidRPr="00525534">
        <w:rPr>
          <w:rFonts w:ascii="Times New Roman" w:hAnsi="Times New Roman" w:cs="Times New Roman"/>
          <w:b/>
          <w:sz w:val="24"/>
          <w:szCs w:val="24"/>
        </w:rPr>
        <w:t>Dr Ashley Plank</w:t>
      </w:r>
      <w:r w:rsidRPr="00525534">
        <w:rPr>
          <w:rFonts w:ascii="Times New Roman" w:hAnsi="Times New Roman" w:cs="Times New Roman"/>
          <w:sz w:val="24"/>
          <w:szCs w:val="24"/>
        </w:rPr>
        <w:t xml:space="preserve"> (submission 275)</w:t>
      </w:r>
    </w:p>
    <w:p w:rsidR="00037498" w:rsidRPr="00525534" w:rsidRDefault="00037498" w:rsidP="00037498">
      <w:pPr>
        <w:rPr>
          <w:rFonts w:ascii="Times New Roman" w:hAnsi="Times New Roman" w:cs="Times New Roman"/>
          <w:sz w:val="24"/>
          <w:szCs w:val="24"/>
        </w:rPr>
      </w:pPr>
    </w:p>
    <w:p w:rsidR="00037498" w:rsidRPr="00525534" w:rsidRDefault="00037498" w:rsidP="00037498">
      <w:pPr>
        <w:rPr>
          <w:rFonts w:ascii="Times New Roman" w:hAnsi="Times New Roman" w:cs="Times New Roman"/>
          <w:color w:val="000000"/>
          <w:sz w:val="24"/>
          <w:szCs w:val="24"/>
          <w:lang w:val="en-US"/>
        </w:rPr>
      </w:pPr>
      <w:r w:rsidRPr="00525534">
        <w:rPr>
          <w:rFonts w:ascii="Times New Roman" w:hAnsi="Times New Roman" w:cs="Times New Roman"/>
          <w:color w:val="000000"/>
          <w:sz w:val="24"/>
          <w:szCs w:val="24"/>
          <w:lang w:val="en-US"/>
        </w:rPr>
        <w:lastRenderedPageBreak/>
        <w:t>"I teach your sons and daughters undergraduate science and train them as PhDs. For the past 20 years I have been flabbergasted by their sub-standard skills in maths and English. I encounter many, many university students who can’t work out percentages, and almost none of them have adequate skills in spelling or grammar. Interestingly, I encounter these problems less these days – thanks to the higher numbers of foreign students! I did not understand the general lack of core skills in our university students – until my own son started his education in Queensland schools."</w:t>
      </w:r>
    </w:p>
    <w:p w:rsidR="00037498" w:rsidRPr="00525534" w:rsidRDefault="00037498" w:rsidP="00037498">
      <w:pPr>
        <w:jc w:val="right"/>
        <w:rPr>
          <w:rFonts w:ascii="Times New Roman" w:hAnsi="Times New Roman" w:cs="Times New Roman"/>
          <w:color w:val="000000"/>
          <w:sz w:val="24"/>
          <w:szCs w:val="24"/>
          <w:lang w:val="en-US"/>
        </w:rPr>
      </w:pPr>
      <w:r w:rsidRPr="00525534">
        <w:rPr>
          <w:rFonts w:ascii="Times New Roman" w:hAnsi="Times New Roman" w:cs="Times New Roman"/>
          <w:b/>
          <w:color w:val="000000"/>
          <w:sz w:val="24"/>
          <w:szCs w:val="24"/>
          <w:lang w:val="en-US"/>
        </w:rPr>
        <w:t>Prof Jenny Stow, Deputy Director (Research), IMB,</w:t>
      </w:r>
      <w:r w:rsidRPr="00525534">
        <w:rPr>
          <w:rFonts w:ascii="Times New Roman" w:hAnsi="Times New Roman" w:cs="Times New Roman"/>
          <w:color w:val="000000"/>
          <w:sz w:val="24"/>
          <w:szCs w:val="24"/>
          <w:lang w:val="en-US"/>
        </w:rPr>
        <w:t xml:space="preserve"> UQ (submission 50)</w:t>
      </w:r>
    </w:p>
    <w:p w:rsidR="00037498" w:rsidRPr="00525534" w:rsidRDefault="00037498" w:rsidP="00037498">
      <w:pPr>
        <w:jc w:val="right"/>
        <w:rPr>
          <w:rFonts w:ascii="Times New Roman" w:hAnsi="Times New Roman" w:cs="Times New Roman"/>
          <w:sz w:val="24"/>
          <w:szCs w:val="24"/>
        </w:rPr>
      </w:pPr>
    </w:p>
    <w:p w:rsidR="00037498" w:rsidRPr="00525534" w:rsidRDefault="00037498" w:rsidP="000374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US"/>
        </w:rPr>
      </w:pPr>
      <w:r w:rsidRPr="00525534">
        <w:rPr>
          <w:rFonts w:ascii="Times New Roman" w:hAnsi="Times New Roman" w:cs="Times New Roman"/>
          <w:color w:val="000000"/>
          <w:sz w:val="24"/>
          <w:szCs w:val="24"/>
          <w:lang w:val="en-US"/>
        </w:rPr>
        <w:t>"The main motivation for my submission is that the skills of many Queensland mathematics B graduates are insufficient to study the subject at a first year University level. This in turn jeopardises the ability of our University graduates in science, mathematics and engineering to reach an international standard, and support Australia’s aspirations to maintain its ability for scientific and technological innovation.</w:t>
      </w:r>
    </w:p>
    <w:p w:rsidR="00037498" w:rsidRPr="00525534" w:rsidRDefault="00037498" w:rsidP="00037498">
      <w:pPr>
        <w:rPr>
          <w:rFonts w:ascii="Times New Roman" w:hAnsi="Times New Roman" w:cs="Times New Roman"/>
          <w:color w:val="000000"/>
          <w:sz w:val="24"/>
          <w:szCs w:val="24"/>
          <w:lang w:val="en-US"/>
        </w:rPr>
      </w:pPr>
      <w:r w:rsidRPr="00525534">
        <w:rPr>
          <w:rFonts w:ascii="Times New Roman" w:hAnsi="Times New Roman" w:cs="Times New Roman"/>
          <w:color w:val="000000"/>
          <w:sz w:val="24"/>
          <w:szCs w:val="24"/>
          <w:lang w:val="en-US"/>
        </w:rPr>
        <w:t>The subject content as outlined in the Mathematics B curriculum appears to be reasonable, but the standards at which it is learned and assessed does not. The criterion referenced assessment and written assignments contained in the current syllabus appear to significantly distract excellent high school teachers from focusing on more important mathematical topics and content."</w:t>
      </w:r>
    </w:p>
    <w:p w:rsidR="00037498" w:rsidRPr="00525534" w:rsidRDefault="00037498" w:rsidP="00037498">
      <w:pPr>
        <w:jc w:val="right"/>
        <w:rPr>
          <w:rFonts w:ascii="Times New Roman" w:hAnsi="Times New Roman" w:cs="Times New Roman"/>
          <w:color w:val="000000"/>
          <w:sz w:val="24"/>
          <w:szCs w:val="24"/>
          <w:lang w:val="en-US"/>
        </w:rPr>
      </w:pPr>
      <w:r w:rsidRPr="00525534">
        <w:rPr>
          <w:rFonts w:ascii="Times New Roman" w:hAnsi="Times New Roman" w:cs="Times New Roman"/>
          <w:b/>
          <w:color w:val="000000"/>
          <w:sz w:val="24"/>
          <w:szCs w:val="24"/>
          <w:lang w:val="en-US"/>
        </w:rPr>
        <w:t>Assoc Prof Antho</w:t>
      </w:r>
      <w:r w:rsidR="00774649">
        <w:rPr>
          <w:rFonts w:ascii="Times New Roman" w:hAnsi="Times New Roman" w:cs="Times New Roman"/>
          <w:b/>
          <w:color w:val="000000"/>
          <w:sz w:val="24"/>
          <w:szCs w:val="24"/>
          <w:lang w:val="en-US"/>
        </w:rPr>
        <w:t>n</w:t>
      </w:r>
      <w:bookmarkStart w:id="0" w:name="_GoBack"/>
      <w:bookmarkEnd w:id="0"/>
      <w:r w:rsidRPr="00525534">
        <w:rPr>
          <w:rFonts w:ascii="Times New Roman" w:hAnsi="Times New Roman" w:cs="Times New Roman"/>
          <w:b/>
          <w:color w:val="000000"/>
          <w:sz w:val="24"/>
          <w:szCs w:val="24"/>
          <w:lang w:val="en-US"/>
        </w:rPr>
        <w:t>y Roberts. Mathematics, UQ</w:t>
      </w:r>
      <w:r w:rsidRPr="00525534">
        <w:rPr>
          <w:rFonts w:ascii="Times New Roman" w:hAnsi="Times New Roman" w:cs="Times New Roman"/>
          <w:color w:val="000000"/>
          <w:sz w:val="24"/>
          <w:szCs w:val="24"/>
          <w:lang w:val="en-US"/>
        </w:rPr>
        <w:t xml:space="preserve"> (submission 106)</w:t>
      </w:r>
    </w:p>
    <w:p w:rsidR="00037498" w:rsidRPr="00525534" w:rsidRDefault="00037498" w:rsidP="00037498">
      <w:pPr>
        <w:jc w:val="right"/>
        <w:rPr>
          <w:rFonts w:ascii="Times New Roman" w:hAnsi="Times New Roman" w:cs="Times New Roman"/>
          <w:color w:val="000000"/>
          <w:sz w:val="24"/>
          <w:szCs w:val="24"/>
          <w:lang w:val="en-US"/>
        </w:rPr>
      </w:pPr>
    </w:p>
    <w:p w:rsidR="00037498" w:rsidRPr="00525534" w:rsidRDefault="00037498" w:rsidP="00037498">
      <w:pPr>
        <w:rPr>
          <w:rFonts w:ascii="Times New Roman" w:hAnsi="Times New Roman" w:cs="Times New Roman"/>
          <w:color w:val="000000"/>
          <w:sz w:val="24"/>
          <w:szCs w:val="24"/>
          <w:lang w:val="en-US"/>
        </w:rPr>
      </w:pPr>
    </w:p>
    <w:p w:rsidR="00037498" w:rsidRPr="00525534" w:rsidRDefault="00037498" w:rsidP="000374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US"/>
        </w:rPr>
      </w:pPr>
      <w:r w:rsidRPr="00525534">
        <w:rPr>
          <w:rFonts w:ascii="Times New Roman" w:hAnsi="Times New Roman" w:cs="Times New Roman"/>
          <w:color w:val="000000"/>
          <w:sz w:val="24"/>
          <w:szCs w:val="24"/>
          <w:lang w:val="en-US"/>
        </w:rPr>
        <w:t>"For 20 years I was heavily involved in teaching the introductory mathematics course for students intending to study physics, mathematics, chemistry or engineering at Griffith.... The pre-requisite for entry into these courses was a Sound Achievement in Maths B. Over this time there was a noticeable drop in the ability of average students to quickly and confidently handle basic mental arithmetic (addition, division by 10), to handle fractions and to use basic algebra (as learnt in grades 10 and 11)."</w:t>
      </w:r>
    </w:p>
    <w:p w:rsidR="00037498" w:rsidRPr="00525534" w:rsidRDefault="00037498" w:rsidP="000374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sz w:val="24"/>
          <w:szCs w:val="24"/>
          <w:lang w:val="en-US"/>
        </w:rPr>
      </w:pPr>
      <w:r w:rsidRPr="00525534">
        <w:rPr>
          <w:rFonts w:ascii="Times New Roman" w:hAnsi="Times New Roman" w:cs="Times New Roman"/>
          <w:b/>
          <w:color w:val="000000"/>
          <w:sz w:val="24"/>
          <w:szCs w:val="24"/>
          <w:lang w:val="en-US"/>
        </w:rPr>
        <w:t>Dr Tony O'Conner, Mathematics, Griffith University</w:t>
      </w:r>
      <w:r w:rsidRPr="00525534">
        <w:rPr>
          <w:rFonts w:ascii="Times New Roman" w:hAnsi="Times New Roman" w:cs="Times New Roman"/>
          <w:color w:val="000000"/>
          <w:sz w:val="24"/>
          <w:szCs w:val="24"/>
          <w:lang w:val="en-US"/>
        </w:rPr>
        <w:t>, retired (submission 206)</w:t>
      </w:r>
    </w:p>
    <w:p w:rsidR="00037498" w:rsidRPr="00525534" w:rsidRDefault="00037498" w:rsidP="000374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sz w:val="24"/>
          <w:szCs w:val="24"/>
          <w:lang w:val="en-US"/>
        </w:rPr>
      </w:pPr>
    </w:p>
    <w:p w:rsidR="00037498" w:rsidRPr="00525534" w:rsidRDefault="00037498" w:rsidP="00037498">
      <w:pPr>
        <w:rPr>
          <w:rFonts w:ascii="Times New Roman" w:hAnsi="Times New Roman" w:cs="Times New Roman"/>
          <w:sz w:val="24"/>
          <w:szCs w:val="24"/>
          <w:lang w:val="en-US"/>
        </w:rPr>
      </w:pPr>
      <w:r w:rsidRPr="00525534">
        <w:rPr>
          <w:rFonts w:ascii="Times New Roman" w:hAnsi="Times New Roman" w:cs="Times New Roman"/>
          <w:sz w:val="24"/>
          <w:szCs w:val="24"/>
          <w:lang w:val="en-US"/>
        </w:rPr>
        <w:t>“ national testing shows that Queensland is one of the lower performing States... Unfortunately many experienced teacher have or are about to retire and at least in Mathematics and science there are insufficient top quality teachers to replace them.”</w:t>
      </w:r>
    </w:p>
    <w:p w:rsidR="00037498" w:rsidRPr="00297377" w:rsidRDefault="00037498" w:rsidP="00037498">
      <w:pPr>
        <w:jc w:val="right"/>
        <w:rPr>
          <w:rFonts w:ascii="Times New Roman" w:hAnsi="Times New Roman" w:cs="Times New Roman"/>
          <w:sz w:val="24"/>
          <w:szCs w:val="24"/>
        </w:rPr>
      </w:pPr>
      <w:r w:rsidRPr="00525534">
        <w:rPr>
          <w:rFonts w:ascii="Times New Roman" w:hAnsi="Times New Roman" w:cs="Times New Roman"/>
          <w:b/>
          <w:sz w:val="24"/>
          <w:szCs w:val="24"/>
          <w:lang w:val="en-US"/>
        </w:rPr>
        <w:t xml:space="preserve">Dr Stephen Norton, Senior Lecturer, Mathematics Education, Griffith University </w:t>
      </w:r>
      <w:r w:rsidRPr="00525534">
        <w:rPr>
          <w:rFonts w:ascii="Times New Roman" w:hAnsi="Times New Roman" w:cs="Times New Roman"/>
          <w:sz w:val="24"/>
          <w:szCs w:val="24"/>
          <w:lang w:val="en-US"/>
        </w:rPr>
        <w:t>(submission 30)</w:t>
      </w:r>
      <w:r>
        <w:rPr>
          <w:b/>
          <w:sz w:val="32"/>
          <w:u w:val="single"/>
          <w:lang w:eastAsia="en-AU"/>
        </w:rPr>
        <w:br w:type="page"/>
      </w:r>
    </w:p>
    <w:p w:rsidR="00525534" w:rsidRPr="00F40568" w:rsidRDefault="00525534" w:rsidP="00525534">
      <w:pPr>
        <w:rPr>
          <w:b/>
          <w:sz w:val="20"/>
          <w:lang w:eastAsia="en-AU"/>
        </w:rPr>
      </w:pPr>
    </w:p>
    <w:p w:rsidR="00525534" w:rsidRPr="00227238" w:rsidRDefault="00525534" w:rsidP="00525534">
      <w:pPr>
        <w:widowControl w:val="0"/>
        <w:autoSpaceDE w:val="0"/>
        <w:autoSpaceDN w:val="0"/>
        <w:adjustRightInd w:val="0"/>
        <w:rPr>
          <w:rFonts w:ascii="Cambria" w:hAnsi="Cambria" w:cs="Cambria"/>
          <w:b/>
          <w:bCs/>
          <w:sz w:val="36"/>
          <w:szCs w:val="48"/>
          <w:u w:val="single"/>
        </w:rPr>
      </w:pPr>
      <w:r w:rsidRPr="00227238">
        <w:rPr>
          <w:rFonts w:ascii="Cambria" w:hAnsi="Cambria" w:cs="Cambria"/>
          <w:b/>
          <w:bCs/>
          <w:sz w:val="36"/>
          <w:szCs w:val="48"/>
          <w:u w:val="single"/>
        </w:rPr>
        <w:t xml:space="preserve">Appendix </w:t>
      </w:r>
      <w:r w:rsidR="00037498">
        <w:rPr>
          <w:rFonts w:ascii="Cambria" w:hAnsi="Cambria" w:cs="Cambria"/>
          <w:b/>
          <w:bCs/>
          <w:sz w:val="36"/>
          <w:szCs w:val="48"/>
          <w:u w:val="single"/>
        </w:rPr>
        <w:t>C</w:t>
      </w:r>
      <w:r w:rsidRPr="009A666A">
        <w:rPr>
          <w:rFonts w:ascii="Cambria" w:hAnsi="Cambria" w:cs="Cambria"/>
          <w:b/>
          <w:bCs/>
          <w:sz w:val="36"/>
          <w:szCs w:val="48"/>
        </w:rPr>
        <w:t xml:space="preserve">  Analysis of Submissions</w:t>
      </w:r>
    </w:p>
    <w:p w:rsidR="00525534" w:rsidRDefault="00525534" w:rsidP="00525534">
      <w:pPr>
        <w:widowControl w:val="0"/>
        <w:autoSpaceDE w:val="0"/>
        <w:autoSpaceDN w:val="0"/>
        <w:adjustRightInd w:val="0"/>
        <w:rPr>
          <w:rFonts w:ascii="Cambria" w:hAnsi="Cambria" w:cs="Cambria"/>
          <w:b/>
          <w:bCs/>
          <w:szCs w:val="48"/>
        </w:rPr>
      </w:pPr>
    </w:p>
    <w:p w:rsidR="00525534" w:rsidRDefault="00525534" w:rsidP="00525534">
      <w:pPr>
        <w:widowControl w:val="0"/>
        <w:autoSpaceDE w:val="0"/>
        <w:autoSpaceDN w:val="0"/>
        <w:adjustRightInd w:val="0"/>
        <w:rPr>
          <w:rFonts w:ascii="Cambria" w:hAnsi="Cambria" w:cs="Cambria"/>
          <w:b/>
          <w:bCs/>
          <w:szCs w:val="48"/>
        </w:rPr>
      </w:pPr>
      <w:r w:rsidRPr="00227238">
        <w:rPr>
          <w:rFonts w:ascii="Cambria" w:hAnsi="Cambria" w:cs="Cambria"/>
          <w:b/>
          <w:bCs/>
          <w:noProof/>
          <w:szCs w:val="48"/>
          <w:lang w:eastAsia="en-AU"/>
        </w:rPr>
        <w:drawing>
          <wp:inline distT="0" distB="0" distL="0" distR="0">
            <wp:extent cx="5274945" cy="7774305"/>
            <wp:effectExtent l="25400" t="0" r="8255" b="0"/>
            <wp:docPr id="1" name="Picture 0" descr="Teachers submissions pie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s submissions piechart.png"/>
                    <pic:cNvPicPr/>
                  </pic:nvPicPr>
                  <pic:blipFill>
                    <a:blip r:embed="rId11" cstate="print"/>
                    <a:stretch>
                      <a:fillRect/>
                    </a:stretch>
                  </pic:blipFill>
                  <pic:spPr>
                    <a:xfrm>
                      <a:off x="0" y="0"/>
                      <a:ext cx="5274945" cy="7774305"/>
                    </a:xfrm>
                    <a:prstGeom prst="rect">
                      <a:avLst/>
                    </a:prstGeom>
                  </pic:spPr>
                </pic:pic>
              </a:graphicData>
            </a:graphic>
          </wp:inline>
        </w:drawing>
      </w:r>
      <w:r w:rsidRPr="00227238">
        <w:rPr>
          <w:rFonts w:ascii="Cambria" w:hAnsi="Cambria" w:cs="Cambria"/>
          <w:b/>
          <w:bCs/>
          <w:szCs w:val="48"/>
        </w:rPr>
        <w:t xml:space="preserve"> </w:t>
      </w:r>
      <w:r>
        <w:rPr>
          <w:rFonts w:ascii="Cambria" w:hAnsi="Cambria" w:cs="Cambria"/>
          <w:b/>
          <w:bCs/>
          <w:noProof/>
          <w:szCs w:val="48"/>
          <w:lang w:eastAsia="en-AU"/>
        </w:rPr>
        <w:lastRenderedPageBreak/>
        <w:drawing>
          <wp:inline distT="0" distB="0" distL="0" distR="0">
            <wp:extent cx="5042890" cy="8915400"/>
            <wp:effectExtent l="25400" t="0" r="11710" b="0"/>
            <wp:docPr id="4" name="Picture 1" descr="Submissions Pie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s Piechart.png"/>
                    <pic:cNvPicPr/>
                  </pic:nvPicPr>
                  <pic:blipFill>
                    <a:blip r:embed="rId12" cstate="print"/>
                    <a:stretch>
                      <a:fillRect/>
                    </a:stretch>
                  </pic:blipFill>
                  <pic:spPr>
                    <a:xfrm>
                      <a:off x="0" y="0"/>
                      <a:ext cx="5041890" cy="8913632"/>
                    </a:xfrm>
                    <a:prstGeom prst="rect">
                      <a:avLst/>
                    </a:prstGeom>
                  </pic:spPr>
                </pic:pic>
              </a:graphicData>
            </a:graphic>
          </wp:inline>
        </w:drawing>
      </w:r>
    </w:p>
    <w:p w:rsidR="00525534" w:rsidRPr="0057755B" w:rsidRDefault="00525534" w:rsidP="00525534">
      <w:pPr>
        <w:widowControl w:val="0"/>
        <w:autoSpaceDE w:val="0"/>
        <w:autoSpaceDN w:val="0"/>
        <w:adjustRightInd w:val="0"/>
        <w:jc w:val="center"/>
        <w:rPr>
          <w:rFonts w:ascii="Cambria" w:hAnsi="Cambria" w:cs="Cambria"/>
          <w:b/>
          <w:bCs/>
          <w:sz w:val="28"/>
          <w:szCs w:val="28"/>
        </w:rPr>
      </w:pPr>
      <w:r w:rsidRPr="0057755B">
        <w:rPr>
          <w:rFonts w:ascii="Cambria" w:hAnsi="Cambria" w:cs="Cambria"/>
          <w:b/>
          <w:bCs/>
          <w:sz w:val="28"/>
          <w:szCs w:val="28"/>
        </w:rPr>
        <w:lastRenderedPageBreak/>
        <w:t>Summary of Submissions to the</w:t>
      </w:r>
    </w:p>
    <w:p w:rsidR="00525534" w:rsidRPr="0057755B" w:rsidRDefault="00525534" w:rsidP="00525534">
      <w:pPr>
        <w:widowControl w:val="0"/>
        <w:autoSpaceDE w:val="0"/>
        <w:autoSpaceDN w:val="0"/>
        <w:adjustRightInd w:val="0"/>
        <w:jc w:val="center"/>
        <w:rPr>
          <w:rFonts w:ascii="Cambria" w:hAnsi="Cambria" w:cs="Cambria"/>
          <w:b/>
          <w:bCs/>
          <w:sz w:val="28"/>
          <w:szCs w:val="28"/>
          <w:u w:val="single"/>
        </w:rPr>
      </w:pPr>
      <w:r w:rsidRPr="0057755B">
        <w:rPr>
          <w:rFonts w:ascii="Cambria" w:hAnsi="Cambria" w:cs="Cambria"/>
          <w:b/>
          <w:bCs/>
          <w:sz w:val="28"/>
          <w:szCs w:val="28"/>
        </w:rPr>
        <w:t>Queensland Parliamentary Inquiry into Assessment Methods for Senior Maths, Physics and Chemistry</w:t>
      </w:r>
    </w:p>
    <w:p w:rsidR="00525534" w:rsidRPr="00DE11B1" w:rsidRDefault="00525534" w:rsidP="00525534">
      <w:pPr>
        <w:widowControl w:val="0"/>
        <w:autoSpaceDE w:val="0"/>
        <w:autoSpaceDN w:val="0"/>
        <w:adjustRightInd w:val="0"/>
        <w:rPr>
          <w:rFonts w:ascii="Cambria" w:hAnsi="Cambria" w:cs="Cambria"/>
          <w:sz w:val="28"/>
          <w:szCs w:val="28"/>
        </w:rPr>
      </w:pPr>
    </w:p>
    <w:tbl>
      <w:tblPr>
        <w:tblW w:w="5820" w:type="pct"/>
        <w:tblInd w:w="-743" w:type="dxa"/>
        <w:tblBorders>
          <w:top w:val="nil"/>
          <w:left w:val="nil"/>
          <w:right w:val="nil"/>
        </w:tblBorders>
        <w:tblLayout w:type="fixed"/>
        <w:tblLook w:val="0000" w:firstRow="0" w:lastRow="0" w:firstColumn="0" w:lastColumn="0" w:noHBand="0" w:noVBand="0"/>
      </w:tblPr>
      <w:tblGrid>
        <w:gridCol w:w="1233"/>
        <w:gridCol w:w="697"/>
        <w:gridCol w:w="684"/>
        <w:gridCol w:w="783"/>
        <w:gridCol w:w="624"/>
        <w:gridCol w:w="577"/>
        <w:gridCol w:w="654"/>
        <w:gridCol w:w="611"/>
        <w:gridCol w:w="777"/>
        <w:gridCol w:w="602"/>
        <w:gridCol w:w="790"/>
        <w:gridCol w:w="615"/>
        <w:gridCol w:w="714"/>
        <w:gridCol w:w="648"/>
        <w:gridCol w:w="749"/>
      </w:tblGrid>
      <w:tr w:rsidR="00525534" w:rsidRPr="00133729" w:rsidTr="0057755B">
        <w:tc>
          <w:tcPr>
            <w:tcW w:w="573" w:type="pct"/>
            <w:tcBorders>
              <w:top w:val="single" w:sz="8" w:space="0" w:color="000000"/>
              <w:left w:val="single" w:sz="8" w:space="0" w:color="000000"/>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b/>
                <w:bCs/>
                <w:sz w:val="20"/>
                <w:szCs w:val="20"/>
              </w:rPr>
              <w:t> </w:t>
            </w:r>
          </w:p>
        </w:tc>
        <w:tc>
          <w:tcPr>
            <w:tcW w:w="642" w:type="pct"/>
            <w:gridSpan w:val="2"/>
            <w:tcBorders>
              <w:top w:val="single" w:sz="8" w:space="0" w:color="000000"/>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b/>
                <w:bCs/>
                <w:sz w:val="20"/>
                <w:szCs w:val="20"/>
              </w:rPr>
              <w:t>Parents, students</w:t>
            </w:r>
            <w:r>
              <w:rPr>
                <w:rFonts w:ascii="Cambria" w:hAnsi="Cambria" w:cs="Cambria"/>
                <w:b/>
                <w:bCs/>
                <w:sz w:val="20"/>
                <w:szCs w:val="20"/>
              </w:rPr>
              <w:t>, other profession-als</w:t>
            </w:r>
            <w:r w:rsidRPr="00133729">
              <w:rPr>
                <w:rFonts w:ascii="Cambria" w:hAnsi="Cambria" w:cs="Cambria"/>
                <w:b/>
                <w:bCs/>
                <w:sz w:val="20"/>
                <w:szCs w:val="20"/>
              </w:rPr>
              <w:t xml:space="preserve"> </w:t>
            </w:r>
            <w:r>
              <w:rPr>
                <w:rFonts w:ascii="Cambria" w:hAnsi="Cambria" w:cs="Cambria"/>
                <w:b/>
                <w:bCs/>
                <w:sz w:val="20"/>
                <w:szCs w:val="20"/>
              </w:rPr>
              <w:t>&amp;</w:t>
            </w:r>
            <w:r w:rsidRPr="00133729">
              <w:rPr>
                <w:rFonts w:ascii="Cambria" w:hAnsi="Cambria" w:cs="Cambria"/>
                <w:b/>
                <w:bCs/>
                <w:sz w:val="20"/>
                <w:szCs w:val="20"/>
              </w:rPr>
              <w:t xml:space="preserve"> 'not stated'</w:t>
            </w:r>
          </w:p>
        </w:tc>
        <w:tc>
          <w:tcPr>
            <w:tcW w:w="654" w:type="pct"/>
            <w:gridSpan w:val="2"/>
            <w:tcBorders>
              <w:top w:val="single" w:sz="8" w:space="0" w:color="000000"/>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b/>
                <w:bCs/>
                <w:sz w:val="20"/>
                <w:szCs w:val="20"/>
              </w:rPr>
              <w:t>Teachers on a full teaching load</w:t>
            </w:r>
          </w:p>
        </w:tc>
        <w:tc>
          <w:tcPr>
            <w:tcW w:w="572" w:type="pct"/>
            <w:gridSpan w:val="2"/>
            <w:tcBorders>
              <w:top w:val="single" w:sz="8" w:space="0" w:color="000000"/>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b/>
                <w:bCs/>
                <w:sz w:val="20"/>
                <w:szCs w:val="20"/>
              </w:rPr>
              <w:t>Teachers</w:t>
            </w:r>
          </w:p>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b/>
                <w:bCs/>
                <w:sz w:val="20"/>
                <w:szCs w:val="20"/>
              </w:rPr>
              <w:t>on a partial teaching load</w:t>
            </w:r>
          </w:p>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b/>
                <w:bCs/>
                <w:sz w:val="20"/>
                <w:szCs w:val="20"/>
              </w:rPr>
              <w:t>(HODS)</w:t>
            </w:r>
          </w:p>
        </w:tc>
        <w:tc>
          <w:tcPr>
            <w:tcW w:w="645" w:type="pct"/>
            <w:gridSpan w:val="2"/>
            <w:tcBorders>
              <w:top w:val="single" w:sz="8" w:space="0" w:color="000000"/>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b/>
                <w:bCs/>
                <w:sz w:val="20"/>
                <w:szCs w:val="20"/>
              </w:rPr>
            </w:pPr>
            <w:r w:rsidRPr="00133729">
              <w:rPr>
                <w:rFonts w:ascii="Cambria" w:hAnsi="Cambria" w:cs="Cambria"/>
                <w:b/>
                <w:bCs/>
                <w:sz w:val="20"/>
                <w:szCs w:val="20"/>
              </w:rPr>
              <w:t>Maths or Science</w:t>
            </w:r>
          </w:p>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b/>
                <w:bCs/>
                <w:sz w:val="20"/>
                <w:szCs w:val="20"/>
              </w:rPr>
              <w:t>Discipline academics</w:t>
            </w:r>
          </w:p>
        </w:tc>
        <w:tc>
          <w:tcPr>
            <w:tcW w:w="647" w:type="pct"/>
            <w:gridSpan w:val="2"/>
            <w:tcBorders>
              <w:top w:val="single" w:sz="8" w:space="0" w:color="000000"/>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b/>
                <w:bCs/>
                <w:sz w:val="20"/>
                <w:szCs w:val="20"/>
              </w:rPr>
              <w:t>Education academics</w:t>
            </w:r>
          </w:p>
        </w:tc>
        <w:tc>
          <w:tcPr>
            <w:tcW w:w="618" w:type="pct"/>
            <w:gridSpan w:val="2"/>
            <w:tcBorders>
              <w:top w:val="single" w:sz="8" w:space="0" w:color="000000"/>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b/>
                <w:bCs/>
                <w:sz w:val="20"/>
                <w:szCs w:val="20"/>
              </w:rPr>
              <w:t xml:space="preserve">Education </w:t>
            </w:r>
            <w:r>
              <w:rPr>
                <w:rFonts w:ascii="Cambria" w:hAnsi="Cambria" w:cs="Cambria"/>
                <w:b/>
                <w:bCs/>
                <w:sz w:val="20"/>
                <w:szCs w:val="20"/>
              </w:rPr>
              <w:t>agencies</w:t>
            </w:r>
            <w:r w:rsidRPr="00133729">
              <w:rPr>
                <w:rFonts w:ascii="Cambria" w:hAnsi="Cambria" w:cs="Cambria"/>
                <w:b/>
                <w:bCs/>
                <w:sz w:val="20"/>
                <w:szCs w:val="20"/>
              </w:rPr>
              <w:t xml:space="preserve"> (including QSA itself)</w:t>
            </w:r>
          </w:p>
        </w:tc>
        <w:tc>
          <w:tcPr>
            <w:tcW w:w="649" w:type="pct"/>
            <w:gridSpan w:val="2"/>
            <w:tcBorders>
              <w:top w:val="single" w:sz="8" w:space="0" w:color="000000"/>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b/>
                <w:bCs/>
                <w:sz w:val="20"/>
                <w:szCs w:val="20"/>
              </w:rPr>
            </w:pPr>
            <w:r w:rsidRPr="00133729">
              <w:rPr>
                <w:rFonts w:ascii="Cambria" w:hAnsi="Cambria" w:cs="Cambria"/>
                <w:b/>
                <w:bCs/>
                <w:sz w:val="20"/>
                <w:szCs w:val="20"/>
              </w:rPr>
              <w:t xml:space="preserve">Sub-totals for each group </w:t>
            </w:r>
          </w:p>
          <w:p w:rsidR="00525534" w:rsidRPr="00133729" w:rsidRDefault="00525534" w:rsidP="0057755B">
            <w:pPr>
              <w:widowControl w:val="0"/>
              <w:autoSpaceDE w:val="0"/>
              <w:autoSpaceDN w:val="0"/>
              <w:adjustRightInd w:val="0"/>
              <w:rPr>
                <w:rFonts w:ascii="Cambria" w:hAnsi="Cambria" w:cs="Cambria"/>
                <w:sz w:val="20"/>
                <w:szCs w:val="20"/>
              </w:rPr>
            </w:pPr>
          </w:p>
        </w:tc>
      </w:tr>
      <w:tr w:rsidR="00525534" w:rsidRPr="00133729" w:rsidTr="0057755B">
        <w:tblPrEx>
          <w:tblBorders>
            <w:top w:val="none" w:sz="0" w:space="0" w:color="auto"/>
          </w:tblBorders>
        </w:tblPrEx>
        <w:tc>
          <w:tcPr>
            <w:tcW w:w="573" w:type="pct"/>
            <w:tcBorders>
              <w:left w:val="single" w:sz="8" w:space="0" w:color="000000"/>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p>
        </w:tc>
        <w:tc>
          <w:tcPr>
            <w:tcW w:w="32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w:t>
            </w:r>
          </w:p>
        </w:tc>
        <w:tc>
          <w:tcPr>
            <w:tcW w:w="318"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w:t>
            </w:r>
          </w:p>
        </w:tc>
        <w:tc>
          <w:tcPr>
            <w:tcW w:w="36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w:t>
            </w:r>
          </w:p>
        </w:tc>
        <w:tc>
          <w:tcPr>
            <w:tcW w:w="290"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w:t>
            </w:r>
          </w:p>
        </w:tc>
        <w:tc>
          <w:tcPr>
            <w:tcW w:w="268"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w:t>
            </w:r>
          </w:p>
        </w:tc>
        <w:tc>
          <w:tcPr>
            <w:tcW w:w="304"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w:t>
            </w:r>
          </w:p>
        </w:tc>
        <w:tc>
          <w:tcPr>
            <w:tcW w:w="28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w:t>
            </w:r>
          </w:p>
        </w:tc>
        <w:tc>
          <w:tcPr>
            <w:tcW w:w="361"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w:t>
            </w:r>
          </w:p>
        </w:tc>
        <w:tc>
          <w:tcPr>
            <w:tcW w:w="280"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w:t>
            </w:r>
          </w:p>
        </w:tc>
        <w:tc>
          <w:tcPr>
            <w:tcW w:w="367"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w:t>
            </w:r>
          </w:p>
        </w:tc>
        <w:tc>
          <w:tcPr>
            <w:tcW w:w="286"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w:t>
            </w:r>
          </w:p>
        </w:tc>
        <w:tc>
          <w:tcPr>
            <w:tcW w:w="332"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w:t>
            </w:r>
          </w:p>
        </w:tc>
        <w:tc>
          <w:tcPr>
            <w:tcW w:w="301"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b/>
                <w:bCs/>
                <w:sz w:val="20"/>
                <w:szCs w:val="20"/>
              </w:rPr>
              <w:t>#</w:t>
            </w:r>
          </w:p>
        </w:tc>
        <w:tc>
          <w:tcPr>
            <w:tcW w:w="348"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w:t>
            </w:r>
          </w:p>
        </w:tc>
      </w:tr>
      <w:tr w:rsidR="00525534" w:rsidRPr="00133729" w:rsidTr="0057755B">
        <w:tblPrEx>
          <w:tblBorders>
            <w:top w:val="none" w:sz="0" w:space="0" w:color="auto"/>
          </w:tblBorders>
        </w:tblPrEx>
        <w:tc>
          <w:tcPr>
            <w:tcW w:w="573" w:type="pct"/>
            <w:tcBorders>
              <w:left w:val="single" w:sz="8" w:space="0" w:color="000000"/>
              <w:bottom w:val="single" w:sz="8" w:space="0" w:color="000000"/>
              <w:right w:val="single" w:sz="8" w:space="0" w:color="000000"/>
            </w:tcBorders>
            <w:tcMar>
              <w:top w:w="140" w:type="nil"/>
              <w:right w:w="140" w:type="nil"/>
            </w:tcMar>
          </w:tcPr>
          <w:p w:rsidR="00525534" w:rsidRPr="00A37EF6" w:rsidRDefault="00525534" w:rsidP="0057755B">
            <w:pPr>
              <w:widowControl w:val="0"/>
              <w:autoSpaceDE w:val="0"/>
              <w:autoSpaceDN w:val="0"/>
              <w:adjustRightInd w:val="0"/>
              <w:rPr>
                <w:rFonts w:ascii="Cambria" w:hAnsi="Cambria" w:cs="Cambria"/>
                <w:color w:val="000090"/>
                <w:sz w:val="20"/>
                <w:szCs w:val="20"/>
              </w:rPr>
            </w:pPr>
            <w:r w:rsidRPr="00A37EF6">
              <w:rPr>
                <w:rFonts w:ascii="Cambria" w:hAnsi="Cambria" w:cs="Cambria"/>
                <w:b/>
                <w:bCs/>
                <w:color w:val="000090"/>
                <w:sz w:val="20"/>
                <w:szCs w:val="20"/>
              </w:rPr>
              <w:t>FOR CHANGE*</w:t>
            </w:r>
          </w:p>
        </w:tc>
        <w:tc>
          <w:tcPr>
            <w:tcW w:w="32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77</w:t>
            </w:r>
          </w:p>
        </w:tc>
        <w:tc>
          <w:tcPr>
            <w:tcW w:w="318" w:type="pct"/>
            <w:tcBorders>
              <w:bottom w:val="single" w:sz="8" w:space="0" w:color="000000"/>
              <w:right w:val="single" w:sz="8" w:space="0" w:color="000000"/>
            </w:tcBorders>
            <w:tcMar>
              <w:top w:w="140" w:type="nil"/>
              <w:right w:w="140" w:type="nil"/>
            </w:tcMar>
          </w:tcPr>
          <w:p w:rsidR="00525534" w:rsidRPr="009B7C68" w:rsidRDefault="00525534" w:rsidP="0057755B">
            <w:pPr>
              <w:widowControl w:val="0"/>
              <w:autoSpaceDE w:val="0"/>
              <w:autoSpaceDN w:val="0"/>
              <w:adjustRightInd w:val="0"/>
              <w:rPr>
                <w:rFonts w:ascii="Cambria" w:hAnsi="Cambria" w:cs="Cambria"/>
                <w:b/>
                <w:sz w:val="20"/>
                <w:szCs w:val="20"/>
              </w:rPr>
            </w:pPr>
            <w:r>
              <w:rPr>
                <w:rFonts w:ascii="Cambria" w:hAnsi="Cambria" w:cs="Cambria"/>
                <w:b/>
                <w:sz w:val="20"/>
                <w:szCs w:val="20"/>
              </w:rPr>
              <w:t>94</w:t>
            </w:r>
          </w:p>
        </w:tc>
        <w:tc>
          <w:tcPr>
            <w:tcW w:w="36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115</w:t>
            </w:r>
          </w:p>
        </w:tc>
        <w:tc>
          <w:tcPr>
            <w:tcW w:w="290"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b/>
                <w:sz w:val="20"/>
                <w:szCs w:val="20"/>
              </w:rPr>
            </w:pPr>
            <w:r>
              <w:rPr>
                <w:rFonts w:ascii="Cambria" w:hAnsi="Cambria" w:cs="Cambria"/>
                <w:b/>
                <w:sz w:val="20"/>
                <w:szCs w:val="20"/>
              </w:rPr>
              <w:t>96</w:t>
            </w:r>
          </w:p>
        </w:tc>
        <w:tc>
          <w:tcPr>
            <w:tcW w:w="268"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21</w:t>
            </w:r>
          </w:p>
        </w:tc>
        <w:tc>
          <w:tcPr>
            <w:tcW w:w="304"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Pr>
                <w:rFonts w:ascii="Cambria" w:hAnsi="Cambria" w:cs="Cambria"/>
                <w:sz w:val="20"/>
                <w:szCs w:val="20"/>
              </w:rPr>
              <w:t>54</w:t>
            </w:r>
          </w:p>
        </w:tc>
        <w:tc>
          <w:tcPr>
            <w:tcW w:w="28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Pr>
                <w:rFonts w:ascii="Cambria" w:hAnsi="Cambria" w:cs="Cambria"/>
                <w:sz w:val="20"/>
                <w:szCs w:val="20"/>
              </w:rPr>
              <w:t>13</w:t>
            </w:r>
          </w:p>
        </w:tc>
        <w:tc>
          <w:tcPr>
            <w:tcW w:w="361"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87</w:t>
            </w:r>
          </w:p>
        </w:tc>
        <w:tc>
          <w:tcPr>
            <w:tcW w:w="280"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2</w:t>
            </w:r>
          </w:p>
        </w:tc>
        <w:tc>
          <w:tcPr>
            <w:tcW w:w="367"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13</w:t>
            </w:r>
          </w:p>
        </w:tc>
        <w:tc>
          <w:tcPr>
            <w:tcW w:w="286"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2</w:t>
            </w:r>
          </w:p>
        </w:tc>
        <w:tc>
          <w:tcPr>
            <w:tcW w:w="332"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Pr>
                <w:rFonts w:ascii="Cambria" w:hAnsi="Cambria" w:cs="Cambria"/>
                <w:sz w:val="20"/>
                <w:szCs w:val="20"/>
              </w:rPr>
              <w:t>13</w:t>
            </w:r>
            <w:r w:rsidRPr="00133729">
              <w:rPr>
                <w:rFonts w:ascii="Cambria" w:hAnsi="Cambria" w:cs="Cambria"/>
                <w:sz w:val="20"/>
                <w:szCs w:val="20"/>
              </w:rPr>
              <w:t> </w:t>
            </w:r>
          </w:p>
        </w:tc>
        <w:tc>
          <w:tcPr>
            <w:tcW w:w="301"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230</w:t>
            </w:r>
          </w:p>
        </w:tc>
        <w:tc>
          <w:tcPr>
            <w:tcW w:w="348" w:type="pct"/>
            <w:tcBorders>
              <w:bottom w:val="single" w:sz="8" w:space="0" w:color="000000"/>
              <w:right w:val="single" w:sz="8" w:space="0" w:color="000000"/>
            </w:tcBorders>
            <w:tcMar>
              <w:top w:w="140" w:type="nil"/>
              <w:right w:w="140" w:type="nil"/>
            </w:tcMar>
          </w:tcPr>
          <w:p w:rsidR="00525534" w:rsidRPr="009B7C68" w:rsidRDefault="00525534" w:rsidP="0057755B">
            <w:pPr>
              <w:widowControl w:val="0"/>
              <w:autoSpaceDE w:val="0"/>
              <w:autoSpaceDN w:val="0"/>
              <w:adjustRightInd w:val="0"/>
              <w:rPr>
                <w:rFonts w:ascii="Cambria" w:hAnsi="Cambria" w:cs="Cambria"/>
                <w:b/>
                <w:color w:val="000090"/>
                <w:sz w:val="20"/>
                <w:szCs w:val="20"/>
              </w:rPr>
            </w:pPr>
            <w:r w:rsidRPr="009B7C68">
              <w:rPr>
                <w:rFonts w:ascii="Cambria" w:hAnsi="Cambria" w:cs="Cambria"/>
                <w:b/>
                <w:color w:val="000090"/>
                <w:szCs w:val="20"/>
              </w:rPr>
              <w:t>82</w:t>
            </w:r>
          </w:p>
        </w:tc>
      </w:tr>
      <w:tr w:rsidR="00525534" w:rsidRPr="00133729" w:rsidTr="0057755B">
        <w:tblPrEx>
          <w:tblBorders>
            <w:top w:val="none" w:sz="0" w:space="0" w:color="auto"/>
          </w:tblBorders>
        </w:tblPrEx>
        <w:tc>
          <w:tcPr>
            <w:tcW w:w="573" w:type="pct"/>
            <w:tcBorders>
              <w:left w:val="single" w:sz="8" w:space="0" w:color="000000"/>
              <w:bottom w:val="single" w:sz="8" w:space="0" w:color="000000"/>
              <w:right w:val="single" w:sz="8" w:space="0" w:color="000000"/>
            </w:tcBorders>
            <w:tcMar>
              <w:top w:w="140" w:type="nil"/>
              <w:right w:w="140" w:type="nil"/>
            </w:tcMar>
          </w:tcPr>
          <w:p w:rsidR="00525534" w:rsidRPr="00A37EF6" w:rsidRDefault="00525534" w:rsidP="0057755B">
            <w:pPr>
              <w:widowControl w:val="0"/>
              <w:autoSpaceDE w:val="0"/>
              <w:autoSpaceDN w:val="0"/>
              <w:adjustRightInd w:val="0"/>
              <w:rPr>
                <w:rFonts w:ascii="Cambria" w:hAnsi="Cambria" w:cs="Cambria"/>
                <w:color w:val="800000"/>
                <w:sz w:val="20"/>
                <w:szCs w:val="20"/>
              </w:rPr>
            </w:pPr>
            <w:r w:rsidRPr="00A37EF6">
              <w:rPr>
                <w:rFonts w:ascii="Cambria" w:hAnsi="Cambria" w:cs="Cambria"/>
                <w:bCs/>
                <w:color w:val="800000"/>
                <w:sz w:val="20"/>
                <w:szCs w:val="20"/>
              </w:rPr>
              <w:t>AGAINST CHANGE**</w:t>
            </w:r>
          </w:p>
        </w:tc>
        <w:tc>
          <w:tcPr>
            <w:tcW w:w="32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3</w:t>
            </w:r>
          </w:p>
        </w:tc>
        <w:tc>
          <w:tcPr>
            <w:tcW w:w="318"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Pr>
                <w:rFonts w:ascii="Cambria" w:hAnsi="Cambria" w:cs="Cambria"/>
                <w:sz w:val="20"/>
                <w:szCs w:val="20"/>
              </w:rPr>
              <w:t>4</w:t>
            </w:r>
          </w:p>
        </w:tc>
        <w:tc>
          <w:tcPr>
            <w:tcW w:w="36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3</w:t>
            </w:r>
          </w:p>
        </w:tc>
        <w:tc>
          <w:tcPr>
            <w:tcW w:w="290"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2</w:t>
            </w:r>
          </w:p>
        </w:tc>
        <w:tc>
          <w:tcPr>
            <w:tcW w:w="268"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17</w:t>
            </w:r>
          </w:p>
        </w:tc>
        <w:tc>
          <w:tcPr>
            <w:tcW w:w="304"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44</w:t>
            </w:r>
          </w:p>
        </w:tc>
        <w:tc>
          <w:tcPr>
            <w:tcW w:w="28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2</w:t>
            </w:r>
          </w:p>
        </w:tc>
        <w:tc>
          <w:tcPr>
            <w:tcW w:w="361"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13</w:t>
            </w:r>
          </w:p>
        </w:tc>
        <w:tc>
          <w:tcPr>
            <w:tcW w:w="280"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6</w:t>
            </w:r>
          </w:p>
        </w:tc>
        <w:tc>
          <w:tcPr>
            <w:tcW w:w="367"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75</w:t>
            </w:r>
          </w:p>
        </w:tc>
        <w:tc>
          <w:tcPr>
            <w:tcW w:w="286"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Pr>
                <w:rFonts w:ascii="Cambria" w:hAnsi="Cambria" w:cs="Cambria"/>
                <w:sz w:val="20"/>
                <w:szCs w:val="20"/>
              </w:rPr>
              <w:t>12</w:t>
            </w:r>
          </w:p>
        </w:tc>
        <w:tc>
          <w:tcPr>
            <w:tcW w:w="332"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75</w:t>
            </w:r>
          </w:p>
        </w:tc>
        <w:tc>
          <w:tcPr>
            <w:tcW w:w="301"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Pr>
                <w:rFonts w:ascii="Cambria" w:hAnsi="Cambria" w:cs="Cambria"/>
                <w:sz w:val="20"/>
                <w:szCs w:val="20"/>
              </w:rPr>
              <w:t>43</w:t>
            </w:r>
          </w:p>
        </w:tc>
        <w:tc>
          <w:tcPr>
            <w:tcW w:w="348" w:type="pct"/>
            <w:tcBorders>
              <w:bottom w:val="single" w:sz="8" w:space="0" w:color="000000"/>
              <w:right w:val="single" w:sz="8" w:space="0" w:color="000000"/>
            </w:tcBorders>
            <w:tcMar>
              <w:top w:w="140" w:type="nil"/>
              <w:right w:w="140" w:type="nil"/>
            </w:tcMar>
          </w:tcPr>
          <w:p w:rsidR="00525534" w:rsidRPr="009B7C68" w:rsidRDefault="00525534" w:rsidP="0057755B">
            <w:pPr>
              <w:widowControl w:val="0"/>
              <w:autoSpaceDE w:val="0"/>
              <w:autoSpaceDN w:val="0"/>
              <w:adjustRightInd w:val="0"/>
              <w:rPr>
                <w:rFonts w:ascii="Cambria" w:hAnsi="Cambria" w:cs="Cambria"/>
                <w:color w:val="FF0000"/>
                <w:sz w:val="20"/>
                <w:szCs w:val="20"/>
              </w:rPr>
            </w:pPr>
            <w:r w:rsidRPr="009B7C68">
              <w:rPr>
                <w:rFonts w:ascii="Cambria" w:hAnsi="Cambria" w:cs="Cambria"/>
                <w:color w:val="FF0000"/>
                <w:sz w:val="20"/>
                <w:szCs w:val="20"/>
              </w:rPr>
              <w:t> 16</w:t>
            </w:r>
          </w:p>
        </w:tc>
      </w:tr>
      <w:tr w:rsidR="00525534" w:rsidRPr="00133729" w:rsidTr="0057755B">
        <w:tblPrEx>
          <w:tblBorders>
            <w:top w:val="none" w:sz="0" w:space="0" w:color="auto"/>
          </w:tblBorders>
        </w:tblPrEx>
        <w:tc>
          <w:tcPr>
            <w:tcW w:w="573" w:type="pct"/>
            <w:tcBorders>
              <w:left w:val="single" w:sz="8" w:space="0" w:color="000000"/>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bCs/>
                <w:sz w:val="20"/>
                <w:szCs w:val="20"/>
              </w:rPr>
              <w:t>NEUTRAL</w:t>
            </w:r>
          </w:p>
        </w:tc>
        <w:tc>
          <w:tcPr>
            <w:tcW w:w="32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2</w:t>
            </w:r>
          </w:p>
        </w:tc>
        <w:tc>
          <w:tcPr>
            <w:tcW w:w="318"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Pr>
                <w:rFonts w:ascii="Cambria" w:hAnsi="Cambria" w:cs="Cambria"/>
                <w:sz w:val="20"/>
                <w:szCs w:val="20"/>
              </w:rPr>
              <w:t>2</w:t>
            </w:r>
          </w:p>
        </w:tc>
        <w:tc>
          <w:tcPr>
            <w:tcW w:w="36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2</w:t>
            </w:r>
          </w:p>
        </w:tc>
        <w:tc>
          <w:tcPr>
            <w:tcW w:w="290"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2</w:t>
            </w:r>
          </w:p>
        </w:tc>
        <w:tc>
          <w:tcPr>
            <w:tcW w:w="268"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w:t>
            </w:r>
          </w:p>
        </w:tc>
        <w:tc>
          <w:tcPr>
            <w:tcW w:w="304"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2</w:t>
            </w:r>
          </w:p>
        </w:tc>
        <w:tc>
          <w:tcPr>
            <w:tcW w:w="28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0</w:t>
            </w:r>
          </w:p>
        </w:tc>
        <w:tc>
          <w:tcPr>
            <w:tcW w:w="361"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0</w:t>
            </w:r>
          </w:p>
        </w:tc>
        <w:tc>
          <w:tcPr>
            <w:tcW w:w="280"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0</w:t>
            </w:r>
          </w:p>
        </w:tc>
        <w:tc>
          <w:tcPr>
            <w:tcW w:w="367"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13</w:t>
            </w:r>
          </w:p>
        </w:tc>
        <w:tc>
          <w:tcPr>
            <w:tcW w:w="286"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2</w:t>
            </w:r>
          </w:p>
        </w:tc>
        <w:tc>
          <w:tcPr>
            <w:tcW w:w="332"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13</w:t>
            </w:r>
          </w:p>
        </w:tc>
        <w:tc>
          <w:tcPr>
            <w:tcW w:w="301"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7</w:t>
            </w:r>
          </w:p>
        </w:tc>
        <w:tc>
          <w:tcPr>
            <w:tcW w:w="348"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Pr>
                <w:rFonts w:ascii="Cambria" w:hAnsi="Cambria" w:cs="Cambria"/>
                <w:sz w:val="20"/>
                <w:szCs w:val="20"/>
              </w:rPr>
              <w:t>2</w:t>
            </w:r>
          </w:p>
        </w:tc>
      </w:tr>
      <w:tr w:rsidR="00525534" w:rsidRPr="00133729" w:rsidTr="0057755B">
        <w:tc>
          <w:tcPr>
            <w:tcW w:w="573" w:type="pct"/>
            <w:tcBorders>
              <w:left w:val="single" w:sz="8" w:space="0" w:color="000000"/>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bCs/>
                <w:sz w:val="20"/>
                <w:szCs w:val="20"/>
              </w:rPr>
              <w:t>TOTAL</w:t>
            </w:r>
          </w:p>
        </w:tc>
        <w:tc>
          <w:tcPr>
            <w:tcW w:w="32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82</w:t>
            </w:r>
          </w:p>
        </w:tc>
        <w:tc>
          <w:tcPr>
            <w:tcW w:w="318"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100</w:t>
            </w:r>
          </w:p>
        </w:tc>
        <w:tc>
          <w:tcPr>
            <w:tcW w:w="36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120</w:t>
            </w:r>
          </w:p>
        </w:tc>
        <w:tc>
          <w:tcPr>
            <w:tcW w:w="290" w:type="pct"/>
            <w:tcBorders>
              <w:bottom w:val="single" w:sz="8" w:space="0" w:color="000000"/>
              <w:right w:val="single" w:sz="8" w:space="0" w:color="000000"/>
            </w:tcBorders>
            <w:tcMar>
              <w:top w:w="140" w:type="nil"/>
              <w:right w:w="140" w:type="nil"/>
            </w:tcMar>
          </w:tcPr>
          <w:p w:rsidR="00525534" w:rsidRPr="00F569B8" w:rsidRDefault="00525534" w:rsidP="0057755B">
            <w:pPr>
              <w:widowControl w:val="0"/>
              <w:autoSpaceDE w:val="0"/>
              <w:autoSpaceDN w:val="0"/>
              <w:adjustRightInd w:val="0"/>
              <w:rPr>
                <w:rFonts w:ascii="Cambria" w:hAnsi="Cambria" w:cs="Cambria"/>
                <w:sz w:val="18"/>
                <w:szCs w:val="18"/>
              </w:rPr>
            </w:pPr>
            <w:r w:rsidRPr="00F569B8">
              <w:rPr>
                <w:rFonts w:ascii="Cambria" w:hAnsi="Cambria" w:cs="Cambria"/>
                <w:sz w:val="18"/>
                <w:szCs w:val="18"/>
              </w:rPr>
              <w:t>100</w:t>
            </w:r>
          </w:p>
        </w:tc>
        <w:tc>
          <w:tcPr>
            <w:tcW w:w="268"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Pr>
                <w:rFonts w:ascii="Cambria" w:hAnsi="Cambria" w:cs="Cambria"/>
                <w:sz w:val="20"/>
                <w:szCs w:val="20"/>
              </w:rPr>
              <w:t>39</w:t>
            </w:r>
          </w:p>
        </w:tc>
        <w:tc>
          <w:tcPr>
            <w:tcW w:w="304" w:type="pct"/>
            <w:tcBorders>
              <w:bottom w:val="single" w:sz="8" w:space="0" w:color="000000"/>
              <w:right w:val="single" w:sz="8" w:space="0" w:color="000000"/>
            </w:tcBorders>
            <w:tcMar>
              <w:top w:w="140" w:type="nil"/>
              <w:right w:w="140" w:type="nil"/>
            </w:tcMar>
          </w:tcPr>
          <w:p w:rsidR="00525534" w:rsidRPr="00F569B8" w:rsidRDefault="00525534" w:rsidP="0057755B">
            <w:pPr>
              <w:widowControl w:val="0"/>
              <w:autoSpaceDE w:val="0"/>
              <w:autoSpaceDN w:val="0"/>
              <w:adjustRightInd w:val="0"/>
              <w:rPr>
                <w:rFonts w:ascii="Cambria" w:hAnsi="Cambria" w:cs="Cambria"/>
                <w:sz w:val="16"/>
                <w:szCs w:val="16"/>
              </w:rPr>
            </w:pPr>
            <w:r w:rsidRPr="00F569B8">
              <w:rPr>
                <w:rFonts w:ascii="Cambria" w:hAnsi="Cambria" w:cs="Cambria"/>
                <w:sz w:val="16"/>
                <w:szCs w:val="16"/>
              </w:rPr>
              <w:t>100</w:t>
            </w:r>
          </w:p>
        </w:tc>
        <w:tc>
          <w:tcPr>
            <w:tcW w:w="284"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15</w:t>
            </w:r>
          </w:p>
        </w:tc>
        <w:tc>
          <w:tcPr>
            <w:tcW w:w="361"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100</w:t>
            </w:r>
          </w:p>
        </w:tc>
        <w:tc>
          <w:tcPr>
            <w:tcW w:w="280"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8</w:t>
            </w:r>
          </w:p>
        </w:tc>
        <w:tc>
          <w:tcPr>
            <w:tcW w:w="367"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100</w:t>
            </w:r>
          </w:p>
        </w:tc>
        <w:tc>
          <w:tcPr>
            <w:tcW w:w="286"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16</w:t>
            </w:r>
          </w:p>
        </w:tc>
        <w:tc>
          <w:tcPr>
            <w:tcW w:w="332" w:type="pct"/>
            <w:tcBorders>
              <w:bottom w:val="single" w:sz="8" w:space="0" w:color="000000"/>
              <w:right w:val="single" w:sz="8" w:space="0" w:color="000000"/>
            </w:tcBorders>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sidRPr="00133729">
              <w:rPr>
                <w:rFonts w:ascii="Cambria" w:hAnsi="Cambria" w:cs="Cambria"/>
                <w:sz w:val="20"/>
                <w:szCs w:val="20"/>
              </w:rPr>
              <w:t> </w:t>
            </w:r>
            <w:r>
              <w:rPr>
                <w:rFonts w:ascii="Cambria" w:hAnsi="Cambria" w:cs="Cambria"/>
                <w:sz w:val="20"/>
                <w:szCs w:val="20"/>
              </w:rPr>
              <w:t>100</w:t>
            </w:r>
          </w:p>
        </w:tc>
        <w:tc>
          <w:tcPr>
            <w:tcW w:w="301" w:type="pct"/>
            <w:tcBorders>
              <w:bottom w:val="single" w:sz="8" w:space="0" w:color="000000"/>
              <w:right w:val="single" w:sz="8" w:space="0" w:color="000000"/>
            </w:tcBorders>
            <w:shd w:val="clear" w:color="auto" w:fill="FFFE82"/>
            <w:tcMar>
              <w:top w:w="140" w:type="nil"/>
              <w:right w:w="140" w:type="nil"/>
            </w:tcMar>
          </w:tcPr>
          <w:p w:rsidR="00525534" w:rsidRPr="00133729" w:rsidRDefault="00525534" w:rsidP="0057755B">
            <w:pPr>
              <w:widowControl w:val="0"/>
              <w:autoSpaceDE w:val="0"/>
              <w:autoSpaceDN w:val="0"/>
              <w:adjustRightInd w:val="0"/>
              <w:rPr>
                <w:rFonts w:ascii="Cambria" w:hAnsi="Cambria" w:cs="Cambria"/>
                <w:sz w:val="20"/>
                <w:szCs w:val="20"/>
              </w:rPr>
            </w:pPr>
            <w:r>
              <w:rPr>
                <w:rFonts w:ascii="Cambria" w:hAnsi="Cambria" w:cs="Cambria"/>
                <w:sz w:val="20"/>
                <w:szCs w:val="20"/>
              </w:rPr>
              <w:t>280</w:t>
            </w:r>
          </w:p>
        </w:tc>
        <w:tc>
          <w:tcPr>
            <w:tcW w:w="348" w:type="pct"/>
            <w:tcBorders>
              <w:bottom w:val="single" w:sz="8" w:space="0" w:color="000000"/>
              <w:right w:val="single" w:sz="8" w:space="0" w:color="000000"/>
            </w:tcBorders>
            <w:tcMar>
              <w:top w:w="140" w:type="nil"/>
              <w:right w:w="140" w:type="nil"/>
            </w:tcMar>
          </w:tcPr>
          <w:p w:rsidR="00525534" w:rsidRPr="009B7C68" w:rsidRDefault="00525534" w:rsidP="0057755B">
            <w:pPr>
              <w:widowControl w:val="0"/>
              <w:autoSpaceDE w:val="0"/>
              <w:autoSpaceDN w:val="0"/>
              <w:adjustRightInd w:val="0"/>
              <w:rPr>
                <w:rFonts w:ascii="Cambria" w:hAnsi="Cambria" w:cs="Cambria"/>
                <w:sz w:val="20"/>
                <w:szCs w:val="20"/>
              </w:rPr>
            </w:pPr>
            <w:r w:rsidRPr="009B7C68">
              <w:rPr>
                <w:rFonts w:ascii="Cambria" w:hAnsi="Cambria" w:cs="Cambria"/>
                <w:b/>
                <w:bCs/>
                <w:sz w:val="20"/>
                <w:szCs w:val="20"/>
              </w:rPr>
              <w:t>100%</w:t>
            </w:r>
          </w:p>
        </w:tc>
      </w:tr>
    </w:tbl>
    <w:p w:rsidR="00525534" w:rsidRDefault="00525534" w:rsidP="00525534">
      <w:pPr>
        <w:ind w:left="-709" w:right="-907"/>
        <w:rPr>
          <w:rFonts w:ascii="Cambria" w:hAnsi="Cambria" w:cs="Cambria"/>
          <w:sz w:val="20"/>
          <w:szCs w:val="20"/>
        </w:rPr>
      </w:pPr>
      <w:r w:rsidRPr="00133729">
        <w:rPr>
          <w:rFonts w:ascii="Cambria" w:hAnsi="Cambria" w:cs="Cambria"/>
          <w:sz w:val="20"/>
          <w:szCs w:val="20"/>
        </w:rPr>
        <w:t>* Those in fa</w:t>
      </w:r>
      <w:r>
        <w:rPr>
          <w:rFonts w:ascii="Cambria" w:hAnsi="Cambria" w:cs="Cambria"/>
          <w:sz w:val="20"/>
          <w:szCs w:val="20"/>
        </w:rPr>
        <w:t>vour of change/overhaul in Qld, i.e. marks, tests and state exam</w:t>
      </w:r>
    </w:p>
    <w:p w:rsidR="00525534" w:rsidRDefault="00525534" w:rsidP="00525534">
      <w:pPr>
        <w:ind w:left="-709" w:right="-907"/>
        <w:rPr>
          <w:rFonts w:ascii="Cambria" w:hAnsi="Cambria" w:cs="Cambria"/>
          <w:sz w:val="20"/>
          <w:szCs w:val="20"/>
        </w:rPr>
      </w:pPr>
      <w:r w:rsidRPr="00133729">
        <w:rPr>
          <w:rFonts w:ascii="Cambria" w:hAnsi="Cambria" w:cs="Cambria"/>
          <w:sz w:val="20"/>
          <w:szCs w:val="20"/>
        </w:rPr>
        <w:t>* Those who support the old ways currently under inquiry</w:t>
      </w:r>
      <w:r>
        <w:rPr>
          <w:rFonts w:ascii="Cambria" w:hAnsi="Cambria" w:cs="Cambria"/>
          <w:sz w:val="20"/>
          <w:szCs w:val="20"/>
        </w:rPr>
        <w:t>, i.e. criteria, assignments and social moderation</w:t>
      </w:r>
    </w:p>
    <w:p w:rsidR="00525534" w:rsidRDefault="00525534" w:rsidP="00525534">
      <w:pPr>
        <w:ind w:left="-709" w:right="-907"/>
        <w:rPr>
          <w:rFonts w:ascii="Cambria" w:hAnsi="Cambria" w:cs="Cambria"/>
          <w:sz w:val="20"/>
          <w:szCs w:val="20"/>
        </w:rPr>
      </w:pPr>
      <w:r>
        <w:rPr>
          <w:rFonts w:ascii="Cambria" w:hAnsi="Cambria" w:cs="Cambria"/>
          <w:sz w:val="20"/>
          <w:szCs w:val="20"/>
        </w:rPr>
        <w:t xml:space="preserve">Total submissions = 288=5 repeats+3 confidential+280 readable, personal submissions </w:t>
      </w:r>
    </w:p>
    <w:p w:rsidR="003B3513" w:rsidRDefault="003B3513" w:rsidP="00525534">
      <w:pPr>
        <w:ind w:left="-709" w:right="-907"/>
        <w:jc w:val="center"/>
        <w:rPr>
          <w:b/>
          <w:sz w:val="36"/>
          <w:szCs w:val="20"/>
        </w:rPr>
      </w:pPr>
      <w:r>
        <w:rPr>
          <w:b/>
          <w:sz w:val="36"/>
          <w:szCs w:val="20"/>
        </w:rPr>
        <w:br/>
      </w:r>
    </w:p>
    <w:p w:rsidR="003B3513" w:rsidRDefault="003B3513">
      <w:pPr>
        <w:rPr>
          <w:b/>
          <w:sz w:val="36"/>
          <w:szCs w:val="20"/>
        </w:rPr>
      </w:pPr>
      <w:r>
        <w:rPr>
          <w:b/>
          <w:sz w:val="36"/>
          <w:szCs w:val="20"/>
        </w:rPr>
        <w:br w:type="page"/>
      </w:r>
    </w:p>
    <w:p w:rsidR="00525534" w:rsidRPr="00C82E34" w:rsidRDefault="00525534" w:rsidP="00525534">
      <w:pPr>
        <w:ind w:left="-709" w:right="-907"/>
        <w:jc w:val="center"/>
        <w:rPr>
          <w:b/>
          <w:sz w:val="36"/>
          <w:szCs w:val="20"/>
        </w:rPr>
      </w:pPr>
      <w:r w:rsidRPr="00C82E34">
        <w:rPr>
          <w:b/>
          <w:sz w:val="36"/>
          <w:szCs w:val="20"/>
        </w:rPr>
        <w:lastRenderedPageBreak/>
        <w:t>Classification of Submissions</w:t>
      </w:r>
    </w:p>
    <w:p w:rsidR="00525534" w:rsidRDefault="00525534" w:rsidP="00525534">
      <w:pPr>
        <w:ind w:left="-709" w:right="-907"/>
        <w:rPr>
          <w:sz w:val="20"/>
          <w:szCs w:val="20"/>
        </w:rPr>
      </w:pPr>
    </w:p>
    <w:tbl>
      <w:tblPr>
        <w:tblStyle w:val="TableGrid"/>
        <w:tblW w:w="9498" w:type="dxa"/>
        <w:tblInd w:w="-318" w:type="dxa"/>
        <w:tblLook w:val="00BF" w:firstRow="1" w:lastRow="0" w:firstColumn="1" w:lastColumn="0" w:noHBand="0" w:noVBand="0"/>
      </w:tblPr>
      <w:tblGrid>
        <w:gridCol w:w="2127"/>
        <w:gridCol w:w="1418"/>
        <w:gridCol w:w="5953"/>
      </w:tblGrid>
      <w:tr w:rsidR="00525534" w:rsidRPr="00EE4934" w:rsidTr="0057755B">
        <w:tc>
          <w:tcPr>
            <w:tcW w:w="2127" w:type="dxa"/>
          </w:tcPr>
          <w:p w:rsidR="00525534" w:rsidRPr="00EE4934" w:rsidRDefault="00525534" w:rsidP="0057755B">
            <w:pPr>
              <w:ind w:right="-907"/>
              <w:rPr>
                <w:b/>
                <w:sz w:val="20"/>
                <w:szCs w:val="20"/>
              </w:rPr>
            </w:pPr>
            <w:r w:rsidRPr="00EE4934">
              <w:rPr>
                <w:b/>
                <w:sz w:val="20"/>
                <w:szCs w:val="20"/>
              </w:rPr>
              <w:t>Submission Type</w:t>
            </w:r>
          </w:p>
        </w:tc>
        <w:tc>
          <w:tcPr>
            <w:tcW w:w="1418" w:type="dxa"/>
          </w:tcPr>
          <w:p w:rsidR="00525534" w:rsidRPr="00EE4934" w:rsidRDefault="00525534" w:rsidP="0057755B">
            <w:pPr>
              <w:ind w:right="-907"/>
              <w:rPr>
                <w:b/>
                <w:sz w:val="20"/>
                <w:szCs w:val="20"/>
              </w:rPr>
            </w:pPr>
            <w:r w:rsidRPr="00EE4934">
              <w:rPr>
                <w:b/>
                <w:sz w:val="20"/>
                <w:szCs w:val="20"/>
              </w:rPr>
              <w:t xml:space="preserve">Number of </w:t>
            </w:r>
          </w:p>
          <w:p w:rsidR="00525534" w:rsidRPr="00EE4934" w:rsidRDefault="00525534" w:rsidP="0057755B">
            <w:pPr>
              <w:ind w:right="-907"/>
              <w:rPr>
                <w:b/>
                <w:sz w:val="20"/>
                <w:szCs w:val="20"/>
              </w:rPr>
            </w:pPr>
            <w:r w:rsidRPr="00EE4934">
              <w:rPr>
                <w:b/>
                <w:sz w:val="20"/>
                <w:szCs w:val="20"/>
              </w:rPr>
              <w:t>Submissions</w:t>
            </w:r>
          </w:p>
        </w:tc>
        <w:tc>
          <w:tcPr>
            <w:tcW w:w="5953" w:type="dxa"/>
          </w:tcPr>
          <w:p w:rsidR="00525534" w:rsidRPr="00EE4934" w:rsidRDefault="00525534" w:rsidP="0057755B">
            <w:pPr>
              <w:ind w:right="-907"/>
              <w:rPr>
                <w:b/>
                <w:sz w:val="20"/>
                <w:szCs w:val="20"/>
              </w:rPr>
            </w:pPr>
            <w:r w:rsidRPr="00EE4934">
              <w:rPr>
                <w:b/>
                <w:sz w:val="20"/>
                <w:szCs w:val="20"/>
              </w:rPr>
              <w:t>Which Submissions</w:t>
            </w:r>
          </w:p>
        </w:tc>
      </w:tr>
      <w:tr w:rsidR="00525534" w:rsidRPr="00EE4934" w:rsidTr="0057755B">
        <w:trPr>
          <w:trHeight w:val="1539"/>
        </w:trPr>
        <w:tc>
          <w:tcPr>
            <w:tcW w:w="2127" w:type="dxa"/>
          </w:tcPr>
          <w:p w:rsidR="00525534" w:rsidRPr="00D13C09" w:rsidRDefault="00525534" w:rsidP="0057755B">
            <w:pPr>
              <w:ind w:right="-907"/>
              <w:rPr>
                <w:b/>
                <w:color w:val="0000FF"/>
                <w:sz w:val="20"/>
                <w:szCs w:val="20"/>
              </w:rPr>
            </w:pPr>
            <w:r w:rsidRPr="00D13C09">
              <w:rPr>
                <w:b/>
                <w:color w:val="0000FF"/>
                <w:sz w:val="20"/>
                <w:szCs w:val="20"/>
              </w:rPr>
              <w:t xml:space="preserve">For change, i.e. </w:t>
            </w:r>
          </w:p>
          <w:p w:rsidR="00525534" w:rsidRPr="00D13C09" w:rsidRDefault="00525534" w:rsidP="0057755B">
            <w:pPr>
              <w:ind w:right="-907"/>
              <w:rPr>
                <w:b/>
                <w:color w:val="0000FF"/>
                <w:sz w:val="20"/>
                <w:szCs w:val="20"/>
              </w:rPr>
            </w:pPr>
            <w:r w:rsidRPr="00D13C09">
              <w:rPr>
                <w:b/>
                <w:color w:val="0000FF"/>
                <w:sz w:val="20"/>
                <w:szCs w:val="20"/>
              </w:rPr>
              <w:t>marks, tests, and/or</w:t>
            </w:r>
          </w:p>
          <w:p w:rsidR="00525534" w:rsidRPr="00D13C09" w:rsidRDefault="00525534" w:rsidP="0057755B">
            <w:pPr>
              <w:ind w:right="-907"/>
              <w:rPr>
                <w:b/>
                <w:color w:val="0000FF"/>
                <w:sz w:val="20"/>
                <w:szCs w:val="20"/>
              </w:rPr>
            </w:pPr>
            <w:r w:rsidRPr="00D13C09">
              <w:rPr>
                <w:b/>
                <w:color w:val="0000FF"/>
                <w:sz w:val="20"/>
                <w:szCs w:val="20"/>
              </w:rPr>
              <w:t xml:space="preserve"> state exams</w:t>
            </w:r>
          </w:p>
        </w:tc>
        <w:tc>
          <w:tcPr>
            <w:tcW w:w="1418" w:type="dxa"/>
          </w:tcPr>
          <w:p w:rsidR="00525534" w:rsidRPr="00D13C09" w:rsidRDefault="00525534" w:rsidP="0057755B">
            <w:pPr>
              <w:ind w:right="-907"/>
              <w:rPr>
                <w:b/>
                <w:color w:val="0000FF"/>
                <w:sz w:val="20"/>
                <w:szCs w:val="20"/>
              </w:rPr>
            </w:pPr>
            <w:r>
              <w:rPr>
                <w:b/>
                <w:color w:val="0000FF"/>
                <w:sz w:val="20"/>
                <w:szCs w:val="20"/>
              </w:rPr>
              <w:t>230</w:t>
            </w:r>
          </w:p>
        </w:tc>
        <w:tc>
          <w:tcPr>
            <w:tcW w:w="5953" w:type="dxa"/>
          </w:tcPr>
          <w:p w:rsidR="00525534" w:rsidRPr="00D13C09" w:rsidRDefault="00525534" w:rsidP="0057755B">
            <w:pPr>
              <w:ind w:right="-907"/>
              <w:rPr>
                <w:b/>
                <w:color w:val="0000FF"/>
                <w:sz w:val="20"/>
                <w:szCs w:val="20"/>
              </w:rPr>
            </w:pPr>
            <w:r w:rsidRPr="00D13C09">
              <w:rPr>
                <w:b/>
                <w:color w:val="0000FF"/>
                <w:sz w:val="20"/>
                <w:szCs w:val="20"/>
              </w:rPr>
              <w:t>1, 2, 3, 4, 5, 8, 9, 14,15, 17, 18, 18a, 19, 20, 21, 22, 23, 25, 27, 28,</w:t>
            </w:r>
          </w:p>
          <w:p w:rsidR="00525534" w:rsidRPr="00D13C09" w:rsidRDefault="00525534" w:rsidP="0057755B">
            <w:pPr>
              <w:ind w:right="-907"/>
              <w:rPr>
                <w:b/>
                <w:color w:val="0000FF"/>
                <w:sz w:val="20"/>
                <w:szCs w:val="20"/>
              </w:rPr>
            </w:pPr>
            <w:r w:rsidRPr="00D13C09">
              <w:rPr>
                <w:b/>
                <w:color w:val="0000FF"/>
                <w:sz w:val="20"/>
                <w:szCs w:val="20"/>
              </w:rPr>
              <w:t xml:space="preserve">29, 30, 31, 34, 35, 36, 37, 38, 39, 40, 41, 42, 44, 45, 47, 49, 50, </w:t>
            </w:r>
          </w:p>
          <w:p w:rsidR="00525534" w:rsidRPr="00D13C09" w:rsidRDefault="00525534" w:rsidP="0057755B">
            <w:pPr>
              <w:ind w:right="-907"/>
              <w:rPr>
                <w:b/>
                <w:color w:val="0000FF"/>
                <w:sz w:val="20"/>
                <w:szCs w:val="20"/>
              </w:rPr>
            </w:pPr>
            <w:r w:rsidRPr="00D13C09">
              <w:rPr>
                <w:b/>
                <w:color w:val="0000FF"/>
                <w:sz w:val="20"/>
                <w:szCs w:val="20"/>
              </w:rPr>
              <w:t xml:space="preserve">51, 52, 53, 55, 56, 58, 59, 60, 61, 62, 63, 64, 65, 66, 67, 68, 69, </w:t>
            </w:r>
          </w:p>
          <w:p w:rsidR="00525534" w:rsidRPr="00D13C09" w:rsidRDefault="00525534" w:rsidP="0057755B">
            <w:pPr>
              <w:ind w:right="-907"/>
              <w:rPr>
                <w:b/>
                <w:color w:val="0000FF"/>
                <w:sz w:val="20"/>
                <w:szCs w:val="20"/>
              </w:rPr>
            </w:pPr>
            <w:r w:rsidRPr="00D13C09">
              <w:rPr>
                <w:b/>
                <w:color w:val="0000FF"/>
                <w:sz w:val="20"/>
                <w:szCs w:val="20"/>
              </w:rPr>
              <w:t xml:space="preserve">70, 71, 72, 73, 74, 75, 77, 78, 79, 80, 81, 82, 83, 84, 86, 87, 88, </w:t>
            </w:r>
          </w:p>
          <w:p w:rsidR="00525534" w:rsidRPr="00D13C09" w:rsidRDefault="00525534" w:rsidP="0057755B">
            <w:pPr>
              <w:ind w:right="-907"/>
              <w:rPr>
                <w:b/>
                <w:color w:val="0000FF"/>
                <w:sz w:val="20"/>
                <w:szCs w:val="20"/>
              </w:rPr>
            </w:pPr>
            <w:r w:rsidRPr="00D13C09">
              <w:rPr>
                <w:b/>
                <w:color w:val="0000FF"/>
                <w:sz w:val="20"/>
                <w:szCs w:val="20"/>
              </w:rPr>
              <w:t xml:space="preserve">89, 90, 91, 93, 94, 95, 96, 97, 98, 99, 100, 101, 102, 103, 104, </w:t>
            </w:r>
          </w:p>
          <w:p w:rsidR="00525534" w:rsidRPr="00D13C09" w:rsidRDefault="00525534" w:rsidP="0057755B">
            <w:pPr>
              <w:ind w:right="-907"/>
              <w:rPr>
                <w:b/>
                <w:color w:val="0000FF"/>
                <w:sz w:val="20"/>
                <w:szCs w:val="20"/>
              </w:rPr>
            </w:pPr>
            <w:r w:rsidRPr="00D13C09">
              <w:rPr>
                <w:b/>
                <w:color w:val="0000FF"/>
                <w:sz w:val="20"/>
                <w:szCs w:val="20"/>
              </w:rPr>
              <w:t>105, 106, 107, 109, 110, 113, 114, 115, 116, 117, 118, 119, 121,</w:t>
            </w:r>
          </w:p>
          <w:p w:rsidR="00525534" w:rsidRPr="00D13C09" w:rsidRDefault="00525534" w:rsidP="0057755B">
            <w:pPr>
              <w:ind w:right="-907"/>
              <w:rPr>
                <w:b/>
                <w:color w:val="0000FF"/>
                <w:sz w:val="20"/>
                <w:szCs w:val="20"/>
              </w:rPr>
            </w:pPr>
            <w:r w:rsidRPr="00D13C09">
              <w:rPr>
                <w:b/>
                <w:color w:val="0000FF"/>
                <w:sz w:val="20"/>
                <w:szCs w:val="20"/>
              </w:rPr>
              <w:t xml:space="preserve">123, 124, 126, 127, 128, 130, 131, 132, 133, 134, 137, 138, 139, </w:t>
            </w:r>
          </w:p>
          <w:p w:rsidR="00525534" w:rsidRPr="00D13C09" w:rsidRDefault="00525534" w:rsidP="0057755B">
            <w:pPr>
              <w:ind w:right="-907"/>
              <w:rPr>
                <w:b/>
                <w:color w:val="0000FF"/>
                <w:sz w:val="20"/>
                <w:szCs w:val="20"/>
              </w:rPr>
            </w:pPr>
            <w:r w:rsidRPr="00D13C09">
              <w:rPr>
                <w:b/>
                <w:color w:val="0000FF"/>
                <w:sz w:val="20"/>
                <w:szCs w:val="20"/>
              </w:rPr>
              <w:t xml:space="preserve">140, 141, 142, 143, 145, 147, 148, 150, 152, 153, 154, 155, 156, </w:t>
            </w:r>
          </w:p>
          <w:p w:rsidR="00525534" w:rsidRPr="00D13C09" w:rsidRDefault="00525534" w:rsidP="0057755B">
            <w:pPr>
              <w:ind w:right="-907"/>
              <w:rPr>
                <w:b/>
                <w:color w:val="0000FF"/>
                <w:sz w:val="20"/>
                <w:szCs w:val="20"/>
              </w:rPr>
            </w:pPr>
            <w:r w:rsidRPr="00D13C09">
              <w:rPr>
                <w:b/>
                <w:color w:val="0000FF"/>
                <w:sz w:val="20"/>
                <w:szCs w:val="20"/>
              </w:rPr>
              <w:t>159, 160, 162, 163, 164, 165, 166, 167, 168, 169, 170, 171, 172,</w:t>
            </w:r>
          </w:p>
          <w:p w:rsidR="00525534" w:rsidRPr="00D13C09" w:rsidRDefault="00525534" w:rsidP="0057755B">
            <w:pPr>
              <w:ind w:right="-907"/>
              <w:rPr>
                <w:b/>
                <w:color w:val="0000FF"/>
                <w:sz w:val="20"/>
                <w:szCs w:val="20"/>
              </w:rPr>
            </w:pPr>
            <w:r w:rsidRPr="00D13C09">
              <w:rPr>
                <w:b/>
                <w:color w:val="0000FF"/>
                <w:sz w:val="20"/>
                <w:szCs w:val="20"/>
              </w:rPr>
              <w:t xml:space="preserve">173, 174, 175, 178, 179, 180, 181, 183, 184, 185, 186, 187, 188, </w:t>
            </w:r>
          </w:p>
          <w:p w:rsidR="00525534" w:rsidRPr="00D13C09" w:rsidRDefault="00525534" w:rsidP="0057755B">
            <w:pPr>
              <w:ind w:right="-907"/>
              <w:rPr>
                <w:b/>
                <w:color w:val="0000FF"/>
                <w:sz w:val="20"/>
                <w:szCs w:val="20"/>
              </w:rPr>
            </w:pPr>
            <w:r w:rsidRPr="00D13C09">
              <w:rPr>
                <w:b/>
                <w:color w:val="0000FF"/>
                <w:sz w:val="20"/>
                <w:szCs w:val="20"/>
              </w:rPr>
              <w:t xml:space="preserve">189, 190, 191, 194, 195, 196, 199, 200, 201, 202, 203, 204, 205, </w:t>
            </w:r>
          </w:p>
          <w:p w:rsidR="00525534" w:rsidRPr="00D13C09" w:rsidRDefault="00525534" w:rsidP="0057755B">
            <w:pPr>
              <w:ind w:right="-907"/>
              <w:rPr>
                <w:b/>
                <w:color w:val="0000FF"/>
                <w:sz w:val="20"/>
                <w:szCs w:val="20"/>
              </w:rPr>
            </w:pPr>
            <w:r w:rsidRPr="00D13C09">
              <w:rPr>
                <w:b/>
                <w:color w:val="0000FF"/>
                <w:sz w:val="20"/>
                <w:szCs w:val="20"/>
              </w:rPr>
              <w:t xml:space="preserve">206, 207, 208, 209, 210, 211, 213, 214, 215, 217, 218, 219, 220, </w:t>
            </w:r>
          </w:p>
          <w:p w:rsidR="00525534" w:rsidRPr="00D13C09" w:rsidRDefault="00525534" w:rsidP="0057755B">
            <w:pPr>
              <w:ind w:right="-907"/>
              <w:rPr>
                <w:b/>
                <w:color w:val="0000FF"/>
                <w:sz w:val="20"/>
                <w:szCs w:val="20"/>
              </w:rPr>
            </w:pPr>
            <w:r w:rsidRPr="00D13C09">
              <w:rPr>
                <w:b/>
                <w:color w:val="0000FF"/>
                <w:sz w:val="20"/>
                <w:szCs w:val="20"/>
              </w:rPr>
              <w:t xml:space="preserve">222, 223, 225, 227, 228, 230, 231, 232, 233, 235, 236, 237, 238, </w:t>
            </w:r>
          </w:p>
          <w:p w:rsidR="00525534" w:rsidRPr="00D13C09" w:rsidRDefault="00525534" w:rsidP="0057755B">
            <w:pPr>
              <w:ind w:right="-907"/>
              <w:rPr>
                <w:b/>
                <w:color w:val="0000FF"/>
                <w:sz w:val="20"/>
                <w:szCs w:val="20"/>
              </w:rPr>
            </w:pPr>
            <w:r w:rsidRPr="00D13C09">
              <w:rPr>
                <w:b/>
                <w:color w:val="0000FF"/>
                <w:sz w:val="20"/>
                <w:szCs w:val="20"/>
              </w:rPr>
              <w:t>239, 240, 241, 242, 245, 247, 249, 251, 252, 253, 254, 255, 257,</w:t>
            </w:r>
          </w:p>
          <w:p w:rsidR="00525534" w:rsidRPr="00D13C09" w:rsidRDefault="00525534" w:rsidP="0057755B">
            <w:pPr>
              <w:ind w:right="-907"/>
              <w:rPr>
                <w:b/>
                <w:color w:val="0000FF"/>
                <w:sz w:val="20"/>
                <w:szCs w:val="20"/>
              </w:rPr>
            </w:pPr>
            <w:r w:rsidRPr="00D13C09">
              <w:rPr>
                <w:b/>
                <w:color w:val="0000FF"/>
                <w:sz w:val="20"/>
                <w:szCs w:val="20"/>
              </w:rPr>
              <w:t xml:space="preserve">258, 259, 260, 261, 262, 263, 264, 265, 267, 268, 269, 270, 271, </w:t>
            </w:r>
          </w:p>
          <w:p w:rsidR="00525534" w:rsidRDefault="00525534" w:rsidP="0057755B">
            <w:pPr>
              <w:ind w:right="-907"/>
              <w:rPr>
                <w:b/>
                <w:color w:val="0000FF"/>
                <w:sz w:val="20"/>
                <w:szCs w:val="20"/>
              </w:rPr>
            </w:pPr>
            <w:r w:rsidRPr="00D13C09">
              <w:rPr>
                <w:b/>
                <w:color w:val="0000FF"/>
                <w:sz w:val="20"/>
                <w:szCs w:val="20"/>
              </w:rPr>
              <w:t>272, 274, 275, 276, 277, 278, 279, 280, 281</w:t>
            </w:r>
            <w:r>
              <w:rPr>
                <w:b/>
                <w:color w:val="0000FF"/>
                <w:sz w:val="20"/>
                <w:szCs w:val="20"/>
              </w:rPr>
              <w:t>, 283, 284, 285, 286,</w:t>
            </w:r>
          </w:p>
          <w:p w:rsidR="00525534" w:rsidRPr="00D13C09" w:rsidRDefault="00525534" w:rsidP="0057755B">
            <w:pPr>
              <w:ind w:right="-907"/>
              <w:rPr>
                <w:b/>
                <w:color w:val="0000FF"/>
                <w:sz w:val="20"/>
                <w:szCs w:val="20"/>
              </w:rPr>
            </w:pPr>
            <w:r>
              <w:rPr>
                <w:b/>
                <w:color w:val="0000FF"/>
                <w:sz w:val="20"/>
                <w:szCs w:val="20"/>
              </w:rPr>
              <w:t>287, 288</w:t>
            </w:r>
          </w:p>
        </w:tc>
      </w:tr>
      <w:tr w:rsidR="00525534" w:rsidRPr="00EE4934" w:rsidTr="0057755B">
        <w:tc>
          <w:tcPr>
            <w:tcW w:w="2127" w:type="dxa"/>
          </w:tcPr>
          <w:p w:rsidR="00525534" w:rsidRPr="00D13C09" w:rsidRDefault="00525534" w:rsidP="0057755B">
            <w:pPr>
              <w:ind w:right="-907"/>
              <w:rPr>
                <w:b/>
                <w:color w:val="800000"/>
                <w:sz w:val="20"/>
                <w:szCs w:val="20"/>
              </w:rPr>
            </w:pPr>
            <w:r w:rsidRPr="00D13C09">
              <w:rPr>
                <w:b/>
                <w:color w:val="800000"/>
                <w:sz w:val="20"/>
                <w:szCs w:val="20"/>
              </w:rPr>
              <w:t xml:space="preserve">For the old ways, </w:t>
            </w:r>
          </w:p>
          <w:p w:rsidR="003B3513" w:rsidRDefault="00525534" w:rsidP="0057755B">
            <w:pPr>
              <w:ind w:right="-907"/>
              <w:rPr>
                <w:b/>
                <w:color w:val="800000"/>
                <w:sz w:val="20"/>
                <w:szCs w:val="20"/>
              </w:rPr>
            </w:pPr>
            <w:r w:rsidRPr="00D13C09">
              <w:rPr>
                <w:b/>
                <w:color w:val="800000"/>
                <w:sz w:val="20"/>
                <w:szCs w:val="20"/>
              </w:rPr>
              <w:t xml:space="preserve">criteria, assignments,  </w:t>
            </w:r>
          </w:p>
          <w:p w:rsidR="00525534" w:rsidRPr="00D13C09" w:rsidRDefault="00525534" w:rsidP="0057755B">
            <w:pPr>
              <w:ind w:right="-907"/>
              <w:rPr>
                <w:b/>
                <w:color w:val="800000"/>
                <w:sz w:val="20"/>
                <w:szCs w:val="20"/>
              </w:rPr>
            </w:pPr>
            <w:r w:rsidRPr="00D13C09">
              <w:rPr>
                <w:b/>
                <w:color w:val="800000"/>
                <w:sz w:val="20"/>
                <w:szCs w:val="20"/>
              </w:rPr>
              <w:t>and</w:t>
            </w:r>
          </w:p>
          <w:p w:rsidR="00525534" w:rsidRPr="00D13C09" w:rsidRDefault="003B3513" w:rsidP="0057755B">
            <w:pPr>
              <w:ind w:right="-907"/>
              <w:rPr>
                <w:b/>
                <w:color w:val="800000"/>
                <w:sz w:val="20"/>
                <w:szCs w:val="20"/>
              </w:rPr>
            </w:pPr>
            <w:r>
              <w:rPr>
                <w:b/>
                <w:color w:val="800000"/>
                <w:sz w:val="20"/>
                <w:szCs w:val="20"/>
              </w:rPr>
              <w:t>s</w:t>
            </w:r>
            <w:r w:rsidR="00525534" w:rsidRPr="00D13C09">
              <w:rPr>
                <w:b/>
                <w:color w:val="800000"/>
                <w:sz w:val="20"/>
                <w:szCs w:val="20"/>
              </w:rPr>
              <w:t>ocial moderation</w:t>
            </w:r>
          </w:p>
        </w:tc>
        <w:tc>
          <w:tcPr>
            <w:tcW w:w="1418" w:type="dxa"/>
          </w:tcPr>
          <w:p w:rsidR="00525534" w:rsidRPr="00D13C09" w:rsidRDefault="00525534" w:rsidP="0057755B">
            <w:pPr>
              <w:ind w:right="-907"/>
              <w:rPr>
                <w:b/>
                <w:color w:val="800000"/>
                <w:sz w:val="20"/>
                <w:szCs w:val="20"/>
              </w:rPr>
            </w:pPr>
            <w:r w:rsidRPr="00D13C09">
              <w:rPr>
                <w:b/>
                <w:color w:val="800000"/>
                <w:sz w:val="20"/>
                <w:szCs w:val="20"/>
              </w:rPr>
              <w:t>43</w:t>
            </w:r>
          </w:p>
        </w:tc>
        <w:tc>
          <w:tcPr>
            <w:tcW w:w="5953" w:type="dxa"/>
          </w:tcPr>
          <w:p w:rsidR="00525534" w:rsidRPr="00D13C09" w:rsidRDefault="00525534" w:rsidP="0057755B">
            <w:pPr>
              <w:ind w:right="-907"/>
              <w:rPr>
                <w:b/>
                <w:color w:val="800000"/>
                <w:sz w:val="20"/>
                <w:szCs w:val="20"/>
              </w:rPr>
            </w:pPr>
            <w:r w:rsidRPr="00D13C09">
              <w:rPr>
                <w:b/>
                <w:color w:val="800000"/>
                <w:sz w:val="20"/>
                <w:szCs w:val="20"/>
              </w:rPr>
              <w:t>6, 7, 11, 12, 13, 33, 46, 48, 54, 57, 76, 85, 92, 108, 122, 129, 136,</w:t>
            </w:r>
          </w:p>
          <w:p w:rsidR="00525534" w:rsidRPr="00D13C09" w:rsidRDefault="00525534" w:rsidP="0057755B">
            <w:pPr>
              <w:ind w:right="-907"/>
              <w:rPr>
                <w:b/>
                <w:color w:val="800000"/>
                <w:sz w:val="20"/>
                <w:szCs w:val="20"/>
              </w:rPr>
            </w:pPr>
            <w:r w:rsidRPr="00D13C09">
              <w:rPr>
                <w:b/>
                <w:color w:val="800000"/>
                <w:sz w:val="20"/>
                <w:szCs w:val="20"/>
              </w:rPr>
              <w:t>146, 149, 151, 157, 158, 161, 176, 177, 192, 193, 197, 198, 212,</w:t>
            </w:r>
          </w:p>
          <w:p w:rsidR="00525534" w:rsidRPr="00D13C09" w:rsidRDefault="00525534" w:rsidP="0057755B">
            <w:pPr>
              <w:ind w:right="-907"/>
              <w:rPr>
                <w:b/>
                <w:color w:val="800000"/>
                <w:sz w:val="20"/>
                <w:szCs w:val="20"/>
              </w:rPr>
            </w:pPr>
            <w:r w:rsidRPr="00D13C09">
              <w:rPr>
                <w:b/>
                <w:color w:val="800000"/>
                <w:sz w:val="20"/>
                <w:szCs w:val="20"/>
              </w:rPr>
              <w:t>216, 221, 224, 226, 229, 234, 243, 244, 246, 248, 250, 256, 273</w:t>
            </w:r>
          </w:p>
        </w:tc>
      </w:tr>
      <w:tr w:rsidR="00525534" w:rsidRPr="00EE4934" w:rsidTr="0057755B">
        <w:tc>
          <w:tcPr>
            <w:tcW w:w="2127" w:type="dxa"/>
          </w:tcPr>
          <w:p w:rsidR="00525534" w:rsidRPr="00D13C09" w:rsidRDefault="00525534" w:rsidP="0057755B">
            <w:pPr>
              <w:ind w:right="-907"/>
              <w:rPr>
                <w:b/>
                <w:color w:val="76923C" w:themeColor="accent3" w:themeShade="BF"/>
                <w:sz w:val="20"/>
                <w:szCs w:val="20"/>
              </w:rPr>
            </w:pPr>
            <w:r w:rsidRPr="00D13C09">
              <w:rPr>
                <w:b/>
                <w:color w:val="76923C" w:themeColor="accent3" w:themeShade="BF"/>
                <w:sz w:val="20"/>
                <w:szCs w:val="20"/>
              </w:rPr>
              <w:t>Undecided</w:t>
            </w:r>
          </w:p>
        </w:tc>
        <w:tc>
          <w:tcPr>
            <w:tcW w:w="1418" w:type="dxa"/>
          </w:tcPr>
          <w:p w:rsidR="00525534" w:rsidRPr="00D13C09" w:rsidRDefault="00525534" w:rsidP="0057755B">
            <w:pPr>
              <w:ind w:right="-907"/>
              <w:rPr>
                <w:b/>
                <w:color w:val="76923C" w:themeColor="accent3" w:themeShade="BF"/>
                <w:sz w:val="20"/>
                <w:szCs w:val="20"/>
              </w:rPr>
            </w:pPr>
            <w:r w:rsidRPr="00D13C09">
              <w:rPr>
                <w:b/>
                <w:color w:val="76923C" w:themeColor="accent3" w:themeShade="BF"/>
                <w:sz w:val="20"/>
                <w:szCs w:val="20"/>
              </w:rPr>
              <w:t>7</w:t>
            </w:r>
          </w:p>
        </w:tc>
        <w:tc>
          <w:tcPr>
            <w:tcW w:w="5953" w:type="dxa"/>
          </w:tcPr>
          <w:p w:rsidR="00525534" w:rsidRPr="00D13C09" w:rsidRDefault="00525534" w:rsidP="0057755B">
            <w:pPr>
              <w:ind w:right="-907"/>
              <w:rPr>
                <w:b/>
                <w:color w:val="76923C" w:themeColor="accent3" w:themeShade="BF"/>
                <w:sz w:val="20"/>
                <w:szCs w:val="20"/>
              </w:rPr>
            </w:pPr>
            <w:r w:rsidRPr="00D13C09">
              <w:rPr>
                <w:b/>
                <w:color w:val="76923C" w:themeColor="accent3" w:themeShade="BF"/>
                <w:sz w:val="20"/>
                <w:szCs w:val="20"/>
              </w:rPr>
              <w:t>10, 24, 26, 32, 43, 144, 266</w:t>
            </w:r>
          </w:p>
        </w:tc>
      </w:tr>
      <w:tr w:rsidR="00525534" w:rsidRPr="00EE4934" w:rsidTr="0057755B">
        <w:tc>
          <w:tcPr>
            <w:tcW w:w="2127" w:type="dxa"/>
          </w:tcPr>
          <w:p w:rsidR="00525534" w:rsidRPr="00EE4934" w:rsidRDefault="00525534" w:rsidP="0057755B">
            <w:pPr>
              <w:ind w:right="-907"/>
              <w:rPr>
                <w:b/>
                <w:sz w:val="20"/>
                <w:szCs w:val="20"/>
              </w:rPr>
            </w:pPr>
            <w:r>
              <w:rPr>
                <w:b/>
                <w:sz w:val="20"/>
                <w:szCs w:val="20"/>
              </w:rPr>
              <w:t>Confidential</w:t>
            </w:r>
          </w:p>
        </w:tc>
        <w:tc>
          <w:tcPr>
            <w:tcW w:w="1418" w:type="dxa"/>
          </w:tcPr>
          <w:p w:rsidR="00525534" w:rsidRDefault="00525534" w:rsidP="0057755B">
            <w:pPr>
              <w:ind w:right="-907"/>
              <w:rPr>
                <w:b/>
                <w:sz w:val="20"/>
                <w:szCs w:val="20"/>
              </w:rPr>
            </w:pPr>
            <w:r>
              <w:rPr>
                <w:b/>
                <w:sz w:val="20"/>
                <w:szCs w:val="20"/>
              </w:rPr>
              <w:t>3</w:t>
            </w:r>
          </w:p>
        </w:tc>
        <w:tc>
          <w:tcPr>
            <w:tcW w:w="5953" w:type="dxa"/>
          </w:tcPr>
          <w:p w:rsidR="00525534" w:rsidRDefault="00525534" w:rsidP="0057755B">
            <w:pPr>
              <w:ind w:right="-907"/>
              <w:rPr>
                <w:b/>
                <w:sz w:val="20"/>
                <w:szCs w:val="20"/>
              </w:rPr>
            </w:pPr>
            <w:r>
              <w:rPr>
                <w:b/>
                <w:sz w:val="20"/>
                <w:szCs w:val="20"/>
              </w:rPr>
              <w:t>125, 135,  282</w:t>
            </w:r>
          </w:p>
        </w:tc>
      </w:tr>
      <w:tr w:rsidR="00525534" w:rsidRPr="00EE4934" w:rsidTr="0057755B">
        <w:tc>
          <w:tcPr>
            <w:tcW w:w="2127" w:type="dxa"/>
          </w:tcPr>
          <w:p w:rsidR="00525534" w:rsidRDefault="00525534" w:rsidP="0057755B">
            <w:pPr>
              <w:ind w:right="-907"/>
              <w:rPr>
                <w:b/>
                <w:sz w:val="20"/>
                <w:szCs w:val="20"/>
              </w:rPr>
            </w:pPr>
            <w:r>
              <w:rPr>
                <w:b/>
                <w:sz w:val="20"/>
                <w:szCs w:val="20"/>
              </w:rPr>
              <w:t>Repeats, withdrawn</w:t>
            </w:r>
          </w:p>
        </w:tc>
        <w:tc>
          <w:tcPr>
            <w:tcW w:w="1418" w:type="dxa"/>
          </w:tcPr>
          <w:p w:rsidR="00525534" w:rsidRDefault="00525534" w:rsidP="0057755B">
            <w:pPr>
              <w:ind w:right="-907"/>
              <w:rPr>
                <w:b/>
                <w:sz w:val="20"/>
                <w:szCs w:val="20"/>
              </w:rPr>
            </w:pPr>
            <w:r>
              <w:rPr>
                <w:b/>
                <w:sz w:val="20"/>
                <w:szCs w:val="20"/>
              </w:rPr>
              <w:t>5</w:t>
            </w:r>
          </w:p>
        </w:tc>
        <w:tc>
          <w:tcPr>
            <w:tcW w:w="5953" w:type="dxa"/>
          </w:tcPr>
          <w:p w:rsidR="00525534" w:rsidRDefault="00525534" w:rsidP="0057755B">
            <w:pPr>
              <w:ind w:right="-907"/>
              <w:rPr>
                <w:b/>
                <w:sz w:val="20"/>
                <w:szCs w:val="20"/>
              </w:rPr>
            </w:pPr>
          </w:p>
        </w:tc>
      </w:tr>
      <w:tr w:rsidR="00525534" w:rsidRPr="00EE4934" w:rsidTr="0057755B">
        <w:tc>
          <w:tcPr>
            <w:tcW w:w="2127" w:type="dxa"/>
          </w:tcPr>
          <w:p w:rsidR="00525534" w:rsidRPr="00EE4934" w:rsidRDefault="00525534" w:rsidP="0057755B">
            <w:pPr>
              <w:ind w:right="-907"/>
              <w:rPr>
                <w:b/>
                <w:sz w:val="20"/>
                <w:szCs w:val="20"/>
              </w:rPr>
            </w:pPr>
            <w:r w:rsidRPr="00EE4934">
              <w:rPr>
                <w:b/>
                <w:sz w:val="20"/>
                <w:szCs w:val="20"/>
              </w:rPr>
              <w:t>Total</w:t>
            </w:r>
          </w:p>
        </w:tc>
        <w:tc>
          <w:tcPr>
            <w:tcW w:w="1418" w:type="dxa"/>
          </w:tcPr>
          <w:p w:rsidR="00525534" w:rsidRPr="00EE4934" w:rsidRDefault="00525534" w:rsidP="0057755B">
            <w:pPr>
              <w:ind w:right="-907"/>
              <w:rPr>
                <w:b/>
                <w:sz w:val="20"/>
                <w:szCs w:val="20"/>
              </w:rPr>
            </w:pPr>
            <w:r>
              <w:rPr>
                <w:b/>
                <w:sz w:val="20"/>
                <w:szCs w:val="20"/>
              </w:rPr>
              <w:t>288</w:t>
            </w:r>
          </w:p>
        </w:tc>
        <w:tc>
          <w:tcPr>
            <w:tcW w:w="5953" w:type="dxa"/>
          </w:tcPr>
          <w:p w:rsidR="00525534" w:rsidRPr="00EE4934" w:rsidRDefault="00525534" w:rsidP="0057755B">
            <w:pPr>
              <w:ind w:right="-907"/>
              <w:rPr>
                <w:b/>
                <w:sz w:val="20"/>
                <w:szCs w:val="20"/>
              </w:rPr>
            </w:pPr>
          </w:p>
        </w:tc>
      </w:tr>
    </w:tbl>
    <w:p w:rsidR="00525534" w:rsidRDefault="00525534" w:rsidP="00525534">
      <w:pPr>
        <w:ind w:left="-709" w:right="-907"/>
        <w:rPr>
          <w:sz w:val="20"/>
          <w:szCs w:val="20"/>
        </w:rPr>
      </w:pPr>
    </w:p>
    <w:p w:rsidR="00525534" w:rsidRDefault="00525534" w:rsidP="00525534">
      <w:pPr>
        <w:rPr>
          <w:b/>
          <w:sz w:val="32"/>
          <w:u w:val="single"/>
          <w:lang w:eastAsia="en-AU"/>
        </w:rPr>
      </w:pPr>
    </w:p>
    <w:p w:rsidR="00525534" w:rsidRPr="00525534" w:rsidRDefault="00525534" w:rsidP="00525534">
      <w:pPr>
        <w:rPr>
          <w:rFonts w:ascii="Times New Roman" w:hAnsi="Times New Roman" w:cs="Times New Roman"/>
          <w:sz w:val="24"/>
          <w:szCs w:val="24"/>
        </w:rPr>
      </w:pPr>
    </w:p>
    <w:sectPr w:rsidR="00525534" w:rsidRPr="00525534" w:rsidSect="00F1038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B8" w:rsidRDefault="00AD2EB8" w:rsidP="00CA4A01">
      <w:pPr>
        <w:spacing w:after="0" w:line="240" w:lineRule="auto"/>
      </w:pPr>
      <w:r>
        <w:separator/>
      </w:r>
    </w:p>
  </w:endnote>
  <w:endnote w:type="continuationSeparator" w:id="0">
    <w:p w:rsidR="00AD2EB8" w:rsidRDefault="00AD2EB8" w:rsidP="00CA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1469"/>
      <w:docPartObj>
        <w:docPartGallery w:val="Page Numbers (Bottom of Page)"/>
        <w:docPartUnique/>
      </w:docPartObj>
    </w:sdtPr>
    <w:sdtEndPr/>
    <w:sdtContent>
      <w:p w:rsidR="0057755B" w:rsidRDefault="00AD2EB8">
        <w:pPr>
          <w:pStyle w:val="Footer"/>
          <w:jc w:val="center"/>
        </w:pPr>
        <w:r>
          <w:fldChar w:fldCharType="begin"/>
        </w:r>
        <w:r>
          <w:instrText xml:space="preserve"> PAGE   \* MERGEFORMAT </w:instrText>
        </w:r>
        <w:r>
          <w:fldChar w:fldCharType="separate"/>
        </w:r>
        <w:r w:rsidR="00774649">
          <w:rPr>
            <w:noProof/>
          </w:rPr>
          <w:t>11</w:t>
        </w:r>
        <w:r>
          <w:rPr>
            <w:noProof/>
          </w:rPr>
          <w:fldChar w:fldCharType="end"/>
        </w:r>
      </w:p>
    </w:sdtContent>
  </w:sdt>
  <w:p w:rsidR="0057755B" w:rsidRDefault="00577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B8" w:rsidRDefault="00AD2EB8" w:rsidP="00CA4A01">
      <w:pPr>
        <w:spacing w:after="0" w:line="240" w:lineRule="auto"/>
      </w:pPr>
      <w:r>
        <w:separator/>
      </w:r>
    </w:p>
  </w:footnote>
  <w:footnote w:type="continuationSeparator" w:id="0">
    <w:p w:rsidR="00AD2EB8" w:rsidRDefault="00AD2EB8" w:rsidP="00CA4A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1F6"/>
    <w:multiLevelType w:val="hybridMultilevel"/>
    <w:tmpl w:val="428C4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3E08B4"/>
    <w:multiLevelType w:val="hybridMultilevel"/>
    <w:tmpl w:val="4768D26C"/>
    <w:lvl w:ilvl="0" w:tplc="0C090001">
      <w:start w:val="1"/>
      <w:numFmt w:val="bullet"/>
      <w:lvlText w:val=""/>
      <w:lvlJc w:val="left"/>
      <w:pPr>
        <w:ind w:left="1202" w:hanging="360"/>
      </w:pPr>
      <w:rPr>
        <w:rFonts w:ascii="Symbol" w:hAnsi="Symbol"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2">
    <w:nsid w:val="7AF00948"/>
    <w:multiLevelType w:val="hybridMultilevel"/>
    <w:tmpl w:val="ED0448C8"/>
    <w:lvl w:ilvl="0" w:tplc="A66601C2">
      <w:numFmt w:val="bullet"/>
      <w:lvlText w:val="·"/>
      <w:lvlJc w:val="left"/>
      <w:pPr>
        <w:ind w:left="857" w:hanging="375"/>
      </w:pPr>
      <w:rPr>
        <w:rFonts w:ascii="Calibri" w:eastAsiaTheme="minorHAnsi" w:hAnsi="Calibri" w:cs="Calibri"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3">
    <w:nsid w:val="7E7470A3"/>
    <w:multiLevelType w:val="hybridMultilevel"/>
    <w:tmpl w:val="EB023866"/>
    <w:lvl w:ilvl="0" w:tplc="A66601C2">
      <w:numFmt w:val="bullet"/>
      <w:lvlText w:val="·"/>
      <w:lvlJc w:val="left"/>
      <w:pPr>
        <w:ind w:left="1339" w:hanging="375"/>
      </w:pPr>
      <w:rPr>
        <w:rFonts w:ascii="Calibri" w:eastAsiaTheme="minorHAnsi" w:hAnsi="Calibri" w:cs="Calibri"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75"/>
    <w:rsid w:val="00014E19"/>
    <w:rsid w:val="000250CC"/>
    <w:rsid w:val="0003151F"/>
    <w:rsid w:val="00031C1C"/>
    <w:rsid w:val="00037498"/>
    <w:rsid w:val="00160D30"/>
    <w:rsid w:val="0017599E"/>
    <w:rsid w:val="00180672"/>
    <w:rsid w:val="001964DD"/>
    <w:rsid w:val="001F7309"/>
    <w:rsid w:val="00206EE6"/>
    <w:rsid w:val="00230EC5"/>
    <w:rsid w:val="002870AC"/>
    <w:rsid w:val="00297377"/>
    <w:rsid w:val="003665EC"/>
    <w:rsid w:val="003B3513"/>
    <w:rsid w:val="00427A4D"/>
    <w:rsid w:val="00467675"/>
    <w:rsid w:val="00507D6A"/>
    <w:rsid w:val="00515DE2"/>
    <w:rsid w:val="005231B4"/>
    <w:rsid w:val="00525534"/>
    <w:rsid w:val="00552D0B"/>
    <w:rsid w:val="0057755B"/>
    <w:rsid w:val="00584401"/>
    <w:rsid w:val="00596950"/>
    <w:rsid w:val="005E2C02"/>
    <w:rsid w:val="005F1913"/>
    <w:rsid w:val="00604900"/>
    <w:rsid w:val="00640724"/>
    <w:rsid w:val="00640D63"/>
    <w:rsid w:val="006B608C"/>
    <w:rsid w:val="006B7458"/>
    <w:rsid w:val="006C47B4"/>
    <w:rsid w:val="006D7E40"/>
    <w:rsid w:val="006E2429"/>
    <w:rsid w:val="006E3045"/>
    <w:rsid w:val="006F6983"/>
    <w:rsid w:val="00717058"/>
    <w:rsid w:val="00734280"/>
    <w:rsid w:val="00747A2F"/>
    <w:rsid w:val="00765671"/>
    <w:rsid w:val="00774649"/>
    <w:rsid w:val="00853F5F"/>
    <w:rsid w:val="008D6BE3"/>
    <w:rsid w:val="00920329"/>
    <w:rsid w:val="009217EC"/>
    <w:rsid w:val="00930AF7"/>
    <w:rsid w:val="009A666A"/>
    <w:rsid w:val="009C06C7"/>
    <w:rsid w:val="009F3A98"/>
    <w:rsid w:val="00A22C54"/>
    <w:rsid w:val="00A30E1B"/>
    <w:rsid w:val="00A53724"/>
    <w:rsid w:val="00AB1087"/>
    <w:rsid w:val="00AD2EB8"/>
    <w:rsid w:val="00AF0A2A"/>
    <w:rsid w:val="00B72F4E"/>
    <w:rsid w:val="00C0178B"/>
    <w:rsid w:val="00C14975"/>
    <w:rsid w:val="00CA4A01"/>
    <w:rsid w:val="00CC7898"/>
    <w:rsid w:val="00D044BA"/>
    <w:rsid w:val="00D16CFB"/>
    <w:rsid w:val="00D31FA8"/>
    <w:rsid w:val="00D90BA2"/>
    <w:rsid w:val="00E07DB0"/>
    <w:rsid w:val="00F10380"/>
    <w:rsid w:val="00F57DD4"/>
    <w:rsid w:val="00F63CCF"/>
    <w:rsid w:val="00F90B95"/>
    <w:rsid w:val="00F972DF"/>
    <w:rsid w:val="00FF2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675"/>
    <w:pPr>
      <w:ind w:left="720"/>
      <w:contextualSpacing/>
    </w:pPr>
  </w:style>
  <w:style w:type="character" w:styleId="CommentReference">
    <w:name w:val="annotation reference"/>
    <w:basedOn w:val="DefaultParagraphFont"/>
    <w:unhideWhenUsed/>
    <w:rsid w:val="00CC7898"/>
    <w:rPr>
      <w:sz w:val="18"/>
      <w:szCs w:val="18"/>
    </w:rPr>
  </w:style>
  <w:style w:type="paragraph" w:styleId="CommentText">
    <w:name w:val="annotation text"/>
    <w:basedOn w:val="Normal"/>
    <w:link w:val="CommentTextChar"/>
    <w:unhideWhenUsed/>
    <w:rsid w:val="00CC7898"/>
    <w:pPr>
      <w:spacing w:line="240" w:lineRule="auto"/>
    </w:pPr>
    <w:rPr>
      <w:sz w:val="24"/>
      <w:szCs w:val="24"/>
    </w:rPr>
  </w:style>
  <w:style w:type="character" w:customStyle="1" w:styleId="CommentTextChar">
    <w:name w:val="Comment Text Char"/>
    <w:basedOn w:val="DefaultParagraphFont"/>
    <w:link w:val="CommentText"/>
    <w:rsid w:val="00CC7898"/>
    <w:rPr>
      <w:sz w:val="24"/>
      <w:szCs w:val="24"/>
    </w:rPr>
  </w:style>
  <w:style w:type="paragraph" w:styleId="CommentSubject">
    <w:name w:val="annotation subject"/>
    <w:basedOn w:val="CommentText"/>
    <w:next w:val="CommentText"/>
    <w:link w:val="CommentSubjectChar"/>
    <w:uiPriority w:val="99"/>
    <w:semiHidden/>
    <w:unhideWhenUsed/>
    <w:rsid w:val="00CC7898"/>
    <w:rPr>
      <w:b/>
      <w:bCs/>
      <w:sz w:val="20"/>
      <w:szCs w:val="20"/>
    </w:rPr>
  </w:style>
  <w:style w:type="character" w:customStyle="1" w:styleId="CommentSubjectChar">
    <w:name w:val="Comment Subject Char"/>
    <w:basedOn w:val="CommentTextChar"/>
    <w:link w:val="CommentSubject"/>
    <w:uiPriority w:val="99"/>
    <w:semiHidden/>
    <w:rsid w:val="00CC7898"/>
    <w:rPr>
      <w:b/>
      <w:bCs/>
      <w:sz w:val="20"/>
      <w:szCs w:val="20"/>
    </w:rPr>
  </w:style>
  <w:style w:type="paragraph" w:styleId="BalloonText">
    <w:name w:val="Balloon Text"/>
    <w:basedOn w:val="Normal"/>
    <w:link w:val="BalloonTextChar"/>
    <w:uiPriority w:val="99"/>
    <w:semiHidden/>
    <w:unhideWhenUsed/>
    <w:rsid w:val="00CC78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898"/>
    <w:rPr>
      <w:rFonts w:ascii="Lucida Grande" w:hAnsi="Lucida Grande" w:cs="Lucida Grande"/>
      <w:sz w:val="18"/>
      <w:szCs w:val="18"/>
    </w:rPr>
  </w:style>
  <w:style w:type="paragraph" w:styleId="Header">
    <w:name w:val="header"/>
    <w:basedOn w:val="Normal"/>
    <w:link w:val="HeaderChar"/>
    <w:uiPriority w:val="99"/>
    <w:semiHidden/>
    <w:unhideWhenUsed/>
    <w:rsid w:val="00CA4A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A01"/>
  </w:style>
  <w:style w:type="paragraph" w:styleId="Footer">
    <w:name w:val="footer"/>
    <w:basedOn w:val="Normal"/>
    <w:link w:val="FooterChar"/>
    <w:uiPriority w:val="99"/>
    <w:unhideWhenUsed/>
    <w:rsid w:val="00CA4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A01"/>
  </w:style>
  <w:style w:type="table" w:styleId="TableGrid">
    <w:name w:val="Table Grid"/>
    <w:basedOn w:val="TableNormal"/>
    <w:rsid w:val="00525534"/>
    <w:pPr>
      <w:spacing w:after="0" w:line="240" w:lineRule="auto"/>
    </w:pPr>
    <w:rPr>
      <w:rFonts w:eastAsiaTheme="minorEastAsia"/>
      <w:sz w:val="24"/>
      <w:szCs w:val="24"/>
      <w:lang w:val="en-US"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30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675"/>
    <w:pPr>
      <w:ind w:left="720"/>
      <w:contextualSpacing/>
    </w:pPr>
  </w:style>
  <w:style w:type="character" w:styleId="CommentReference">
    <w:name w:val="annotation reference"/>
    <w:basedOn w:val="DefaultParagraphFont"/>
    <w:unhideWhenUsed/>
    <w:rsid w:val="00CC7898"/>
    <w:rPr>
      <w:sz w:val="18"/>
      <w:szCs w:val="18"/>
    </w:rPr>
  </w:style>
  <w:style w:type="paragraph" w:styleId="CommentText">
    <w:name w:val="annotation text"/>
    <w:basedOn w:val="Normal"/>
    <w:link w:val="CommentTextChar"/>
    <w:unhideWhenUsed/>
    <w:rsid w:val="00CC7898"/>
    <w:pPr>
      <w:spacing w:line="240" w:lineRule="auto"/>
    </w:pPr>
    <w:rPr>
      <w:sz w:val="24"/>
      <w:szCs w:val="24"/>
    </w:rPr>
  </w:style>
  <w:style w:type="character" w:customStyle="1" w:styleId="CommentTextChar">
    <w:name w:val="Comment Text Char"/>
    <w:basedOn w:val="DefaultParagraphFont"/>
    <w:link w:val="CommentText"/>
    <w:rsid w:val="00CC7898"/>
    <w:rPr>
      <w:sz w:val="24"/>
      <w:szCs w:val="24"/>
    </w:rPr>
  </w:style>
  <w:style w:type="paragraph" w:styleId="CommentSubject">
    <w:name w:val="annotation subject"/>
    <w:basedOn w:val="CommentText"/>
    <w:next w:val="CommentText"/>
    <w:link w:val="CommentSubjectChar"/>
    <w:uiPriority w:val="99"/>
    <w:semiHidden/>
    <w:unhideWhenUsed/>
    <w:rsid w:val="00CC7898"/>
    <w:rPr>
      <w:b/>
      <w:bCs/>
      <w:sz w:val="20"/>
      <w:szCs w:val="20"/>
    </w:rPr>
  </w:style>
  <w:style w:type="character" w:customStyle="1" w:styleId="CommentSubjectChar">
    <w:name w:val="Comment Subject Char"/>
    <w:basedOn w:val="CommentTextChar"/>
    <w:link w:val="CommentSubject"/>
    <w:uiPriority w:val="99"/>
    <w:semiHidden/>
    <w:rsid w:val="00CC7898"/>
    <w:rPr>
      <w:b/>
      <w:bCs/>
      <w:sz w:val="20"/>
      <w:szCs w:val="20"/>
    </w:rPr>
  </w:style>
  <w:style w:type="paragraph" w:styleId="BalloonText">
    <w:name w:val="Balloon Text"/>
    <w:basedOn w:val="Normal"/>
    <w:link w:val="BalloonTextChar"/>
    <w:uiPriority w:val="99"/>
    <w:semiHidden/>
    <w:unhideWhenUsed/>
    <w:rsid w:val="00CC78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898"/>
    <w:rPr>
      <w:rFonts w:ascii="Lucida Grande" w:hAnsi="Lucida Grande" w:cs="Lucida Grande"/>
      <w:sz w:val="18"/>
      <w:szCs w:val="18"/>
    </w:rPr>
  </w:style>
  <w:style w:type="paragraph" w:styleId="Header">
    <w:name w:val="header"/>
    <w:basedOn w:val="Normal"/>
    <w:link w:val="HeaderChar"/>
    <w:uiPriority w:val="99"/>
    <w:semiHidden/>
    <w:unhideWhenUsed/>
    <w:rsid w:val="00CA4A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A01"/>
  </w:style>
  <w:style w:type="paragraph" w:styleId="Footer">
    <w:name w:val="footer"/>
    <w:basedOn w:val="Normal"/>
    <w:link w:val="FooterChar"/>
    <w:uiPriority w:val="99"/>
    <w:unhideWhenUsed/>
    <w:rsid w:val="00CA4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A01"/>
  </w:style>
  <w:style w:type="table" w:styleId="TableGrid">
    <w:name w:val="Table Grid"/>
    <w:basedOn w:val="TableNormal"/>
    <w:rsid w:val="00525534"/>
    <w:pPr>
      <w:spacing w:after="0" w:line="240" w:lineRule="auto"/>
    </w:pPr>
    <w:rPr>
      <w:rFonts w:eastAsiaTheme="minorEastAsia"/>
      <w:sz w:val="24"/>
      <w:szCs w:val="24"/>
      <w:lang w:val="en-US"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30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22982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phpvr</dc:creator>
  <cp:lastModifiedBy>Mel Boer</cp:lastModifiedBy>
  <cp:revision>3</cp:revision>
  <cp:lastPrinted>2013-09-02T03:19:00Z</cp:lastPrinted>
  <dcterms:created xsi:type="dcterms:W3CDTF">2013-09-02T03:19:00Z</dcterms:created>
  <dcterms:modified xsi:type="dcterms:W3CDTF">2013-09-02T03:24:00Z</dcterms:modified>
</cp:coreProperties>
</file>