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ADB9" w14:textId="2FA69FE5" w:rsidR="00EC6927" w:rsidRDefault="002145E9">
      <w:bookmarkStart w:id="0" w:name="_GoBack"/>
      <w:bookmarkEnd w:id="0"/>
      <w:r>
        <w:t xml:space="preserve">This year we were advised by panel to assess students in the CAJ domain with extra rigor so that we may strengthen the position of our higher ended students. </w:t>
      </w:r>
      <w:r w:rsidR="00ED513C">
        <w:t xml:space="preserve">Prior to this, there would have been 7 possible tick boxes per question - now there </w:t>
      </w:r>
      <w:r w:rsidR="00F27E91">
        <w:t>are 12</w:t>
      </w:r>
      <w:r w:rsidR="00ED513C">
        <w:t xml:space="preserve">. </w:t>
      </w:r>
      <w:r>
        <w:t>As such, this example (Q. 10):</w:t>
      </w:r>
    </w:p>
    <w:p w14:paraId="502C6C58" w14:textId="77777777" w:rsidR="002145E9" w:rsidRDefault="002145E9"/>
    <w:tbl>
      <w:tblPr>
        <w:tblW w:w="10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6"/>
        <w:gridCol w:w="246"/>
        <w:gridCol w:w="647"/>
        <w:gridCol w:w="248"/>
        <w:gridCol w:w="763"/>
        <w:gridCol w:w="246"/>
        <w:gridCol w:w="1817"/>
        <w:gridCol w:w="344"/>
        <w:gridCol w:w="2382"/>
        <w:gridCol w:w="405"/>
        <w:gridCol w:w="2110"/>
      </w:tblGrid>
      <w:tr w:rsidR="00F27E91" w:rsidRPr="00D22EAE" w14:paraId="45B9D980" w14:textId="77777777" w:rsidTr="00BF1B91">
        <w:trPr>
          <w:trHeight w:val="397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60ED336D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 w:rsidRPr="00D22EAE">
              <w:rPr>
                <w:rFonts w:ascii="Times" w:hAnsi="Times" w:cs="Arial"/>
                <w:b/>
              </w:rPr>
              <w:t xml:space="preserve">Question </w:t>
            </w:r>
            <w:r>
              <w:rPr>
                <w:rFonts w:ascii="Times" w:hAnsi="Times" w:cs="Arial"/>
                <w:b/>
              </w:rPr>
              <w:t xml:space="preserve"> 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CF51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3500D6D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  <w:color w:val="FFFFFF"/>
              </w:rPr>
            </w:pPr>
            <w:r>
              <w:rPr>
                <w:rFonts w:ascii="Times" w:hAnsi="Times" w:cs="Arial"/>
                <w:b/>
                <w:color w:val="FFFFFF"/>
              </w:rPr>
              <w:t>*</w:t>
            </w:r>
            <w:r w:rsidRPr="00D22EAE">
              <w:rPr>
                <w:rFonts w:ascii="Times" w:hAnsi="Times" w:cs="Arial"/>
                <w:b/>
                <w:color w:val="FFFFFF"/>
              </w:rPr>
              <w:t>*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1FCE84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24F1B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 w:rsidRPr="00D22EAE">
              <w:rPr>
                <w:rFonts w:ascii="Times" w:hAnsi="Times" w:cs="Arial"/>
                <w:b/>
              </w:rPr>
              <w:t>KAP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19EA4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FEB19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 w:rsidRPr="00D22EAE">
              <w:rPr>
                <w:rFonts w:ascii="Times" w:hAnsi="Times" w:cs="Arial"/>
              </w:rPr>
              <w:t>Use of rules and formulas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D8AD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4056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 w:rsidRPr="00D22EAE">
              <w:rPr>
                <w:rFonts w:ascii="Times" w:hAnsi="Times" w:cs="Arial"/>
              </w:rPr>
              <w:t>Mathematical procedures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58BF4C3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39CEA7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 w:rsidRPr="00D22EAE">
              <w:rPr>
                <w:rFonts w:ascii="Times" w:hAnsi="Times" w:cs="Arial"/>
              </w:rPr>
              <w:t>Use of technology</w:t>
            </w:r>
          </w:p>
        </w:tc>
      </w:tr>
      <w:tr w:rsidR="00F27E91" w:rsidRPr="00D22EAE" w14:paraId="6D37198D" w14:textId="77777777" w:rsidTr="00BF1B91">
        <w:trPr>
          <w:trHeight w:val="397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5D9CEA8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BDA1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F4C7E9D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  <w:color w:val="FFFFFF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A21E8F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B1F66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MAP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7088E2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0379E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Use of strategies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2895B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7C438C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Alternative solutions and/or procedures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382361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2320E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Informed decisions</w:t>
            </w:r>
          </w:p>
        </w:tc>
      </w:tr>
      <w:tr w:rsidR="00F27E91" w:rsidRPr="00D22EAE" w14:paraId="6ACC8F40" w14:textId="77777777" w:rsidTr="00BF1B91">
        <w:trPr>
          <w:trHeight w:val="397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5DC2796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79EF4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5C9BB0C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  <w:color w:val="FFFFFF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19B559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BFB9" w14:textId="77777777" w:rsidR="00F27E91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MAP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1DCC02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6495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Strengths/Limits</w:t>
            </w:r>
          </w:p>
        </w:tc>
        <w:tc>
          <w:tcPr>
            <w:tcW w:w="5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A79A05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</w:tr>
      <w:tr w:rsidR="00F27E91" w:rsidRPr="00D22EAE" w14:paraId="14148980" w14:textId="77777777" w:rsidTr="00BF1B91">
        <w:trPr>
          <w:trHeight w:val="397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44A0777F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516AE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313FF5B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  <w:color w:val="FFFFFF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382059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DCB74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C&amp;J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E1CD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D6C50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Mathematical</w:t>
            </w:r>
          </w:p>
          <w:p w14:paraId="1B80EFB0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terminology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660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386A2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Presentation of</w:t>
            </w:r>
          </w:p>
          <w:p w14:paraId="10C0D2D1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information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446DC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F42D6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Translation of </w:t>
            </w:r>
          </w:p>
          <w:p w14:paraId="28B3C836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information</w:t>
            </w:r>
          </w:p>
        </w:tc>
      </w:tr>
      <w:tr w:rsidR="00F27E91" w:rsidRPr="00D22EAE" w14:paraId="3E3A1CB7" w14:textId="77777777" w:rsidTr="00BF1B91">
        <w:trPr>
          <w:trHeight w:val="397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2EBAAB8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15006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B67E7B3" w14:textId="77777777" w:rsidR="00F27E91" w:rsidRPr="00D22EAE" w:rsidRDefault="00F27E91" w:rsidP="00BF1B91">
            <w:pPr>
              <w:contextualSpacing/>
              <w:jc w:val="center"/>
              <w:rPr>
                <w:rFonts w:ascii="Times" w:hAnsi="Times" w:cs="Arial"/>
                <w:b/>
                <w:color w:val="FFFFFF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30789F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0473F" w14:textId="77777777" w:rsidR="00F27E91" w:rsidRDefault="00F27E91" w:rsidP="00BF1B91">
            <w:pPr>
              <w:contextualSpacing/>
              <w:jc w:val="center"/>
              <w:rPr>
                <w:rFonts w:ascii="Times" w:hAnsi="Times" w:cs="Arial"/>
                <w:b/>
              </w:rPr>
            </w:pPr>
            <w:r>
              <w:rPr>
                <w:rFonts w:ascii="Times" w:hAnsi="Times" w:cs="Arial"/>
                <w:b/>
              </w:rPr>
              <w:t>C&amp;J</w:t>
            </w:r>
          </w:p>
        </w:tc>
        <w:tc>
          <w:tcPr>
            <w:tcW w:w="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3C5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70FE62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Development of</w:t>
            </w:r>
          </w:p>
          <w:p w14:paraId="2FDBCC25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logical sequence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33796A" w14:textId="77777777" w:rsidR="00F27E91" w:rsidRPr="00D22EAE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C5A668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Justification of reasonableness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DC7E3" w14:textId="77777777" w:rsidR="00F27E91" w:rsidRDefault="00F27E91" w:rsidP="00BF1B91">
            <w:pPr>
              <w:contextualSpacing/>
              <w:rPr>
                <w:rFonts w:ascii="Times" w:hAnsi="Times" w:cs="Arial"/>
              </w:rPr>
            </w:pPr>
          </w:p>
        </w:tc>
      </w:tr>
    </w:tbl>
    <w:p w14:paraId="1AFA137D" w14:textId="77777777" w:rsidR="00F27E91" w:rsidRPr="00F27E91" w:rsidRDefault="00F27E91" w:rsidP="00F27E91">
      <w:pPr>
        <w:contextualSpacing/>
        <w:rPr>
          <w:rFonts w:ascii="Times New Roman" w:hAnsi="Times New Roman" w:cs="Times New Roman"/>
          <w:i/>
        </w:rPr>
      </w:pPr>
    </w:p>
    <w:p w14:paraId="06CA5810" w14:textId="77777777" w:rsidR="00F27E91" w:rsidRPr="00F27E91" w:rsidRDefault="00F27E91" w:rsidP="00F27E91">
      <w:pPr>
        <w:contextualSpacing/>
        <w:rPr>
          <w:rFonts w:ascii="Times New Roman" w:hAnsi="Times New Roman" w:cs="Times New Roman"/>
          <w:i/>
        </w:rPr>
      </w:pPr>
      <w:r w:rsidRPr="00F27E91">
        <w:rPr>
          <w:rFonts w:ascii="Times New Roman" w:hAnsi="Times New Roman" w:cs="Times New Roman"/>
          <w:i/>
        </w:rPr>
        <w:t>Based on the details in Question 9, determine whether Hilary Jones receives a tax refund or whether she owes the ATO more money. Specify the amount. Show all working.</w:t>
      </w:r>
    </w:p>
    <w:p w14:paraId="2687E5DC" w14:textId="77777777" w:rsidR="002145E9" w:rsidRDefault="002145E9" w:rsidP="002145E9">
      <w:pPr>
        <w:contextualSpacing/>
        <w:rPr>
          <w:rFonts w:ascii="Times New Roman" w:hAnsi="Times New Roman" w:cs="Times New Roman"/>
        </w:rPr>
      </w:pPr>
    </w:p>
    <w:p w14:paraId="4689F8A5" w14:textId="4A2B27B9" w:rsidR="002145E9" w:rsidRDefault="00F27E91" w:rsidP="002145E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tick according to:</w:t>
      </w:r>
    </w:p>
    <w:p w14:paraId="3614B5F9" w14:textId="77777777" w:rsidR="002145E9" w:rsidRPr="002145E9" w:rsidRDefault="002145E9" w:rsidP="002145E9">
      <w:pPr>
        <w:contextualSpacing/>
        <w:rPr>
          <w:rFonts w:ascii="Times New Roman" w:hAnsi="Times New Roman" w:cs="Times New Roman"/>
        </w:rPr>
      </w:pPr>
    </w:p>
    <w:p w14:paraId="5395D7BD" w14:textId="77777777" w:rsidR="002145E9" w:rsidRPr="00546C1D" w:rsidRDefault="002145E9">
      <w:pPr>
        <w:rPr>
          <w:i/>
          <w:sz w:val="16"/>
          <w:szCs w:val="16"/>
        </w:rPr>
      </w:pPr>
      <w:r>
        <w:t>KAP</w:t>
      </w:r>
      <w:r>
        <w:tab/>
        <w:t>Use of rules and formulas</w:t>
      </w:r>
      <w:r w:rsidR="00546C1D">
        <w:tab/>
      </w:r>
      <w:proofErr w:type="gramStart"/>
      <w:r w:rsidR="00546C1D">
        <w:rPr>
          <w:i/>
          <w:sz w:val="16"/>
          <w:szCs w:val="16"/>
        </w:rPr>
        <w:t>Has</w:t>
      </w:r>
      <w:proofErr w:type="gramEnd"/>
      <w:r w:rsidR="00546C1D">
        <w:rPr>
          <w:i/>
          <w:sz w:val="16"/>
          <w:szCs w:val="16"/>
        </w:rPr>
        <w:t xml:space="preserve"> the student used rules and formulas in this situation?</w:t>
      </w:r>
    </w:p>
    <w:p w14:paraId="36825609" w14:textId="77777777" w:rsidR="00546C1D" w:rsidRDefault="002145E9">
      <w:pPr>
        <w:rPr>
          <w:i/>
          <w:sz w:val="16"/>
          <w:szCs w:val="16"/>
        </w:rPr>
      </w:pPr>
      <w:r>
        <w:t>KAP</w:t>
      </w:r>
      <w:r>
        <w:tab/>
        <w:t>Mathematical procedures</w:t>
      </w:r>
      <w:r w:rsidR="00546C1D">
        <w:tab/>
      </w:r>
      <w:r w:rsidR="00546C1D">
        <w:rPr>
          <w:i/>
          <w:sz w:val="16"/>
          <w:szCs w:val="16"/>
        </w:rPr>
        <w:t>Has the student applied correct mathematical sequences in this</w:t>
      </w:r>
    </w:p>
    <w:p w14:paraId="412B7215" w14:textId="77777777" w:rsidR="002145E9" w:rsidRDefault="00546C1D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situation</w:t>
      </w:r>
      <w:proofErr w:type="gramEnd"/>
      <w:r>
        <w:rPr>
          <w:i/>
          <w:sz w:val="16"/>
          <w:szCs w:val="16"/>
        </w:rPr>
        <w:t>?</w:t>
      </w:r>
    </w:p>
    <w:p w14:paraId="3AC46F2A" w14:textId="77777777" w:rsidR="00546C1D" w:rsidRDefault="002145E9">
      <w:pPr>
        <w:rPr>
          <w:i/>
          <w:sz w:val="16"/>
          <w:szCs w:val="16"/>
        </w:rPr>
      </w:pPr>
      <w:r>
        <w:t>KAP</w:t>
      </w:r>
      <w:r>
        <w:tab/>
      </w:r>
      <w:r w:rsidRPr="00546C1D">
        <w:rPr>
          <w:i/>
          <w:sz w:val="16"/>
          <w:szCs w:val="16"/>
        </w:rPr>
        <w:t>We don't have to assess the "Use of technology" here as there is no</w:t>
      </w:r>
      <w:r w:rsidR="00546C1D">
        <w:rPr>
          <w:i/>
          <w:sz w:val="16"/>
          <w:szCs w:val="16"/>
        </w:rPr>
        <w:t xml:space="preserve"> </w:t>
      </w:r>
      <w:r w:rsidRPr="00546C1D">
        <w:rPr>
          <w:i/>
          <w:sz w:val="16"/>
          <w:szCs w:val="16"/>
        </w:rPr>
        <w:t xml:space="preserve">requirement to use a graphics calculator nor </w:t>
      </w:r>
    </w:p>
    <w:p w14:paraId="1CE96870" w14:textId="77777777" w:rsidR="002145E9" w:rsidRPr="00546C1D" w:rsidRDefault="00546C1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proofErr w:type="gramStart"/>
      <w:r w:rsidR="002145E9" w:rsidRPr="00546C1D">
        <w:rPr>
          <w:i/>
          <w:sz w:val="16"/>
          <w:szCs w:val="16"/>
        </w:rPr>
        <w:t>word</w:t>
      </w:r>
      <w:proofErr w:type="gramEnd"/>
      <w:r w:rsidR="002145E9" w:rsidRPr="00546C1D">
        <w:rPr>
          <w:i/>
          <w:sz w:val="16"/>
          <w:szCs w:val="16"/>
        </w:rPr>
        <w:t xml:space="preserve"> processor.</w:t>
      </w:r>
    </w:p>
    <w:p w14:paraId="415863C9" w14:textId="77777777" w:rsidR="002145E9" w:rsidRDefault="002145E9">
      <w:pPr>
        <w:rPr>
          <w:i/>
        </w:rPr>
      </w:pPr>
    </w:p>
    <w:p w14:paraId="76F8DA5A" w14:textId="77777777" w:rsidR="002145E9" w:rsidRDefault="002145E9">
      <w:r w:rsidRPr="002145E9">
        <w:t>MAP</w:t>
      </w:r>
      <w:r w:rsidRPr="002145E9">
        <w:tab/>
        <w:t>Use of strategies</w:t>
      </w:r>
      <w:r w:rsidR="00546C1D">
        <w:tab/>
      </w:r>
      <w:r w:rsidR="00546C1D">
        <w:tab/>
      </w:r>
      <w:proofErr w:type="gramStart"/>
      <w:r w:rsidR="00546C1D">
        <w:rPr>
          <w:i/>
          <w:sz w:val="16"/>
          <w:szCs w:val="16"/>
        </w:rPr>
        <w:t>Has</w:t>
      </w:r>
      <w:proofErr w:type="gramEnd"/>
      <w:r w:rsidR="00546C1D">
        <w:rPr>
          <w:i/>
          <w:sz w:val="16"/>
          <w:szCs w:val="16"/>
        </w:rPr>
        <w:t xml:space="preserve"> the student used familiar strategies to solve this problem?</w:t>
      </w:r>
    </w:p>
    <w:p w14:paraId="43DDA1B6" w14:textId="77777777" w:rsidR="00546C1D" w:rsidRDefault="002145E9">
      <w:pPr>
        <w:rPr>
          <w:rFonts w:ascii="Times" w:hAnsi="Times" w:cs="Arial"/>
          <w:i/>
          <w:sz w:val="16"/>
          <w:szCs w:val="16"/>
        </w:rPr>
      </w:pPr>
      <w:r>
        <w:t>MAP</w:t>
      </w:r>
      <w:r>
        <w:tab/>
      </w:r>
      <w:r w:rsidRPr="00546C1D">
        <w:rPr>
          <w:i/>
          <w:sz w:val="16"/>
          <w:szCs w:val="16"/>
        </w:rPr>
        <w:t>We don't have to assess the "</w:t>
      </w:r>
      <w:r w:rsidRPr="00546C1D">
        <w:rPr>
          <w:rFonts w:ascii="Times" w:hAnsi="Times" w:cs="Arial"/>
          <w:i/>
          <w:sz w:val="16"/>
          <w:szCs w:val="16"/>
        </w:rPr>
        <w:t>Alternative solutions and/or procedures" as</w:t>
      </w:r>
      <w:r w:rsidR="00546C1D">
        <w:rPr>
          <w:rFonts w:ascii="Times" w:hAnsi="Times" w:cs="Arial"/>
          <w:i/>
          <w:sz w:val="16"/>
          <w:szCs w:val="16"/>
        </w:rPr>
        <w:t xml:space="preserve"> </w:t>
      </w:r>
      <w:r w:rsidRPr="00546C1D">
        <w:rPr>
          <w:rFonts w:ascii="Times" w:hAnsi="Times" w:cs="Arial"/>
          <w:i/>
          <w:sz w:val="16"/>
          <w:szCs w:val="16"/>
        </w:rPr>
        <w:t xml:space="preserve">there is no requirement for </w:t>
      </w:r>
      <w:r w:rsidR="00546C1D">
        <w:rPr>
          <w:rFonts w:ascii="Times" w:hAnsi="Times" w:cs="Arial"/>
          <w:i/>
          <w:sz w:val="16"/>
          <w:szCs w:val="16"/>
        </w:rPr>
        <w:t xml:space="preserve">an </w:t>
      </w:r>
      <w:r w:rsidRPr="00546C1D">
        <w:rPr>
          <w:rFonts w:ascii="Times" w:hAnsi="Times" w:cs="Arial"/>
          <w:i/>
          <w:sz w:val="16"/>
          <w:szCs w:val="16"/>
        </w:rPr>
        <w:t xml:space="preserve">alternative </w:t>
      </w:r>
    </w:p>
    <w:p w14:paraId="28919611" w14:textId="77777777" w:rsidR="002145E9" w:rsidRPr="00546C1D" w:rsidRDefault="00546C1D">
      <w:pPr>
        <w:rPr>
          <w:rFonts w:ascii="Times" w:hAnsi="Times" w:cs="Arial"/>
          <w:i/>
          <w:sz w:val="16"/>
          <w:szCs w:val="16"/>
        </w:rPr>
      </w:pPr>
      <w:r>
        <w:rPr>
          <w:rFonts w:ascii="Times" w:hAnsi="Times" w:cs="Arial"/>
          <w:i/>
          <w:sz w:val="16"/>
          <w:szCs w:val="16"/>
        </w:rPr>
        <w:tab/>
      </w:r>
      <w:proofErr w:type="gramStart"/>
      <w:r w:rsidR="002145E9" w:rsidRPr="00546C1D">
        <w:rPr>
          <w:rFonts w:ascii="Times" w:hAnsi="Times" w:cs="Arial"/>
          <w:i/>
          <w:sz w:val="16"/>
          <w:szCs w:val="16"/>
        </w:rPr>
        <w:t>procedure</w:t>
      </w:r>
      <w:proofErr w:type="gramEnd"/>
      <w:r w:rsidR="002145E9" w:rsidRPr="00546C1D">
        <w:rPr>
          <w:rFonts w:ascii="Times" w:hAnsi="Times" w:cs="Arial"/>
          <w:i/>
          <w:sz w:val="16"/>
          <w:szCs w:val="16"/>
        </w:rPr>
        <w:t xml:space="preserve"> to be employed.</w:t>
      </w:r>
    </w:p>
    <w:p w14:paraId="7436C092" w14:textId="77777777" w:rsidR="00546C1D" w:rsidRDefault="002145E9">
      <w:pPr>
        <w:rPr>
          <w:i/>
          <w:sz w:val="16"/>
          <w:szCs w:val="16"/>
        </w:rPr>
      </w:pPr>
      <w:r>
        <w:rPr>
          <w:rFonts w:ascii="Times" w:hAnsi="Times" w:cs="Arial"/>
        </w:rPr>
        <w:t>MAP</w:t>
      </w:r>
      <w:r>
        <w:rPr>
          <w:rFonts w:ascii="Times" w:hAnsi="Times" w:cs="Arial"/>
        </w:rPr>
        <w:tab/>
        <w:t>Informed decisions</w:t>
      </w:r>
      <w:r w:rsidR="00546C1D">
        <w:rPr>
          <w:rFonts w:ascii="Times" w:hAnsi="Times" w:cs="Arial"/>
        </w:rPr>
        <w:tab/>
      </w:r>
      <w:r w:rsidR="00546C1D">
        <w:rPr>
          <w:rFonts w:ascii="Times" w:hAnsi="Times" w:cs="Arial"/>
        </w:rPr>
        <w:tab/>
      </w:r>
      <w:r w:rsidR="00546C1D">
        <w:rPr>
          <w:i/>
          <w:sz w:val="16"/>
          <w:szCs w:val="16"/>
        </w:rPr>
        <w:t xml:space="preserve">Has the student made correct decisions based on mathematical </w:t>
      </w:r>
    </w:p>
    <w:p w14:paraId="73869C4B" w14:textId="77777777" w:rsidR="002145E9" w:rsidRDefault="00546C1D">
      <w:pPr>
        <w:rPr>
          <w:rFonts w:ascii="Times" w:hAnsi="Times" w:cs="Arial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reasoning</w:t>
      </w:r>
      <w:proofErr w:type="gramEnd"/>
      <w:r>
        <w:rPr>
          <w:i/>
          <w:sz w:val="16"/>
          <w:szCs w:val="16"/>
        </w:rPr>
        <w:t xml:space="preserve"> in this situation?</w:t>
      </w:r>
    </w:p>
    <w:p w14:paraId="0E26E1CF" w14:textId="77777777" w:rsidR="002145E9" w:rsidRDefault="002145E9">
      <w:pPr>
        <w:rPr>
          <w:rFonts w:ascii="Times" w:hAnsi="Times" w:cs="Arial"/>
        </w:rPr>
      </w:pPr>
      <w:r>
        <w:rPr>
          <w:rFonts w:ascii="Times" w:hAnsi="Times" w:cs="Arial"/>
        </w:rPr>
        <w:t>MAP</w:t>
      </w:r>
      <w:r>
        <w:rPr>
          <w:rFonts w:ascii="Times" w:hAnsi="Times" w:cs="Arial"/>
        </w:rPr>
        <w:tab/>
      </w:r>
      <w:r w:rsidRPr="00546C1D">
        <w:rPr>
          <w:rFonts w:ascii="Times" w:hAnsi="Times" w:cs="Arial"/>
          <w:i/>
          <w:sz w:val="16"/>
          <w:szCs w:val="16"/>
        </w:rPr>
        <w:t>We don't have to assess the "Strengths/Limitations</w:t>
      </w:r>
      <w:r w:rsidR="00546C1D">
        <w:rPr>
          <w:rFonts w:ascii="Times" w:hAnsi="Times" w:cs="Arial"/>
          <w:i/>
          <w:sz w:val="16"/>
          <w:szCs w:val="16"/>
        </w:rPr>
        <w:t xml:space="preserve">" as there is no requirement </w:t>
      </w:r>
      <w:r w:rsidRPr="00546C1D">
        <w:rPr>
          <w:rFonts w:ascii="Times" w:hAnsi="Times" w:cs="Arial"/>
          <w:i/>
          <w:sz w:val="16"/>
          <w:szCs w:val="16"/>
        </w:rPr>
        <w:t>in this question.</w:t>
      </w:r>
    </w:p>
    <w:p w14:paraId="04B17FB8" w14:textId="77777777" w:rsidR="002145E9" w:rsidRDefault="002145E9">
      <w:r>
        <w:t>CAJ</w:t>
      </w:r>
      <w:r>
        <w:tab/>
        <w:t>Use of mathematical terminology</w:t>
      </w:r>
    </w:p>
    <w:p w14:paraId="287D6E31" w14:textId="77777777" w:rsidR="00546C1D" w:rsidRDefault="00546C1D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 xml:space="preserve">Has the student used correct mathematical terminology in </w:t>
      </w:r>
      <w:proofErr w:type="gramStart"/>
      <w:r>
        <w:rPr>
          <w:i/>
          <w:sz w:val="16"/>
          <w:szCs w:val="16"/>
        </w:rPr>
        <w:t>this</w:t>
      </w:r>
      <w:proofErr w:type="gramEnd"/>
      <w:r>
        <w:rPr>
          <w:i/>
          <w:sz w:val="16"/>
          <w:szCs w:val="16"/>
        </w:rPr>
        <w:t xml:space="preserve"> </w:t>
      </w:r>
    </w:p>
    <w:p w14:paraId="6EF9180D" w14:textId="77777777" w:rsidR="00546C1D" w:rsidRDefault="00546C1D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situation</w:t>
      </w:r>
      <w:proofErr w:type="gramEnd"/>
      <w:r>
        <w:rPr>
          <w:i/>
          <w:sz w:val="16"/>
          <w:szCs w:val="16"/>
        </w:rPr>
        <w:t>?</w:t>
      </w:r>
    </w:p>
    <w:p w14:paraId="651CAB26" w14:textId="77777777" w:rsidR="00546C1D" w:rsidRDefault="002145E9">
      <w:pPr>
        <w:rPr>
          <w:i/>
          <w:sz w:val="16"/>
          <w:szCs w:val="16"/>
        </w:rPr>
      </w:pPr>
      <w:r>
        <w:t>CAJ</w:t>
      </w:r>
      <w:r>
        <w:tab/>
        <w:t>Presentation of information</w:t>
      </w:r>
      <w:r w:rsidR="00546C1D">
        <w:tab/>
      </w:r>
      <w:proofErr w:type="gramStart"/>
      <w:r w:rsidR="00546C1D">
        <w:rPr>
          <w:i/>
          <w:sz w:val="16"/>
          <w:szCs w:val="16"/>
        </w:rPr>
        <w:t>Has</w:t>
      </w:r>
      <w:proofErr w:type="gramEnd"/>
      <w:r w:rsidR="00546C1D">
        <w:rPr>
          <w:i/>
          <w:sz w:val="16"/>
          <w:szCs w:val="16"/>
        </w:rPr>
        <w:t xml:space="preserve"> the student organised and presented</w:t>
      </w:r>
      <w:r w:rsidR="00546C1D" w:rsidRPr="00546C1D">
        <w:rPr>
          <w:i/>
          <w:sz w:val="16"/>
          <w:szCs w:val="16"/>
        </w:rPr>
        <w:t xml:space="preserve"> information in a variety of </w:t>
      </w:r>
    </w:p>
    <w:p w14:paraId="17DEB789" w14:textId="77777777" w:rsidR="002145E9" w:rsidRDefault="00546C1D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 w:rsidRPr="00546C1D">
        <w:rPr>
          <w:i/>
          <w:sz w:val="16"/>
          <w:szCs w:val="16"/>
        </w:rPr>
        <w:t>representations</w:t>
      </w:r>
      <w:proofErr w:type="gramEnd"/>
      <w:r>
        <w:rPr>
          <w:i/>
          <w:sz w:val="16"/>
          <w:szCs w:val="16"/>
        </w:rPr>
        <w:t>?</w:t>
      </w:r>
    </w:p>
    <w:p w14:paraId="5633B75E" w14:textId="77777777" w:rsidR="00546C1D" w:rsidRDefault="002145E9" w:rsidP="00546C1D">
      <w:pPr>
        <w:rPr>
          <w:i/>
          <w:sz w:val="16"/>
          <w:szCs w:val="16"/>
        </w:rPr>
      </w:pPr>
      <w:r>
        <w:t>CAJ</w:t>
      </w:r>
      <w:r>
        <w:tab/>
        <w:t>Translation of information</w:t>
      </w:r>
      <w:r w:rsidR="00546C1D">
        <w:tab/>
      </w:r>
      <w:proofErr w:type="gramStart"/>
      <w:r w:rsidR="00546C1D">
        <w:rPr>
          <w:i/>
          <w:sz w:val="16"/>
          <w:szCs w:val="16"/>
        </w:rPr>
        <w:t>Has</w:t>
      </w:r>
      <w:proofErr w:type="gramEnd"/>
      <w:r w:rsidR="00546C1D">
        <w:rPr>
          <w:i/>
          <w:sz w:val="16"/>
          <w:szCs w:val="16"/>
        </w:rPr>
        <w:t xml:space="preserve"> the student translated information from one representation to </w:t>
      </w:r>
    </w:p>
    <w:p w14:paraId="190E7E9F" w14:textId="77777777" w:rsidR="002145E9" w:rsidRDefault="00546C1D" w:rsidP="00546C1D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>
        <w:rPr>
          <w:i/>
          <w:sz w:val="16"/>
          <w:szCs w:val="16"/>
        </w:rPr>
        <w:t>another</w:t>
      </w:r>
      <w:proofErr w:type="gramEnd"/>
      <w:r>
        <w:rPr>
          <w:i/>
          <w:sz w:val="16"/>
          <w:szCs w:val="16"/>
        </w:rPr>
        <w:t>?</w:t>
      </w:r>
    </w:p>
    <w:p w14:paraId="5C1C5BB2" w14:textId="77777777" w:rsidR="002145E9" w:rsidRDefault="002145E9">
      <w:r>
        <w:t>CAJ</w:t>
      </w:r>
      <w:r>
        <w:tab/>
        <w:t>Development of a logical sequence</w:t>
      </w:r>
    </w:p>
    <w:p w14:paraId="46F6B5DF" w14:textId="77777777" w:rsidR="00ED513C" w:rsidRDefault="00546C1D" w:rsidP="00546C1D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 xml:space="preserve">Has the student developed logical sequences using mathematical and </w:t>
      </w:r>
    </w:p>
    <w:p w14:paraId="01AC0FAC" w14:textId="77777777" w:rsidR="00546C1D" w:rsidRDefault="00ED513C" w:rsidP="00546C1D"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proofErr w:type="gramStart"/>
      <w:r w:rsidR="00546C1D">
        <w:rPr>
          <w:i/>
          <w:sz w:val="16"/>
          <w:szCs w:val="16"/>
        </w:rPr>
        <w:t>everyday</w:t>
      </w:r>
      <w:proofErr w:type="gramEnd"/>
      <w:r w:rsidR="00546C1D">
        <w:rPr>
          <w:i/>
          <w:sz w:val="16"/>
          <w:szCs w:val="16"/>
        </w:rPr>
        <w:t xml:space="preserve"> language?</w:t>
      </w:r>
    </w:p>
    <w:p w14:paraId="40E1DCED" w14:textId="77777777" w:rsidR="002145E9" w:rsidRDefault="002145E9">
      <w:r>
        <w:t>CAJ</w:t>
      </w:r>
      <w:r>
        <w:tab/>
        <w:t>Justification of reasonableness</w:t>
      </w:r>
    </w:p>
    <w:p w14:paraId="33E546B8" w14:textId="77777777" w:rsidR="00ED513C" w:rsidRDefault="00ED513C" w:rsidP="00ED513C"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Has the student justified the reasonableness of the results calculated?</w:t>
      </w:r>
    </w:p>
    <w:p w14:paraId="7DD6CA6B" w14:textId="77777777" w:rsidR="002145E9" w:rsidRDefault="002145E9"/>
    <w:p w14:paraId="34207950" w14:textId="77777777" w:rsidR="002145E9" w:rsidRDefault="002145E9">
      <w:r>
        <w:t xml:space="preserve">These statements are cut down summaries of the criteria statements so that tick boxes can be organised. In this case, a student could receive a maximum of 9 ticks </w:t>
      </w:r>
      <w:r w:rsidR="00ED513C">
        <w:t>from this</w:t>
      </w:r>
      <w:r>
        <w:t xml:space="preserve"> C-level question. It is possible that an A level may need all 12 boxes ticked.</w:t>
      </w:r>
    </w:p>
    <w:p w14:paraId="5CDAB113" w14:textId="77777777" w:rsidR="002145E9" w:rsidRDefault="002145E9"/>
    <w:p w14:paraId="4CC81CE3" w14:textId="77777777" w:rsidR="002145E9" w:rsidRPr="002145E9" w:rsidRDefault="00ED513C">
      <w:r>
        <w:t xml:space="preserve">That was the easy part! I believe that this particular student answered well but I can only use 4 of the 9 ticks. </w:t>
      </w:r>
      <w:proofErr w:type="spellStart"/>
      <w:proofErr w:type="gramStart"/>
      <w:r>
        <w:t>Lets</w:t>
      </w:r>
      <w:proofErr w:type="spellEnd"/>
      <w:proofErr w:type="gramEnd"/>
      <w:r>
        <w:t xml:space="preserve"> see what this does for the "holistic" view of the complete paper.</w:t>
      </w:r>
    </w:p>
    <w:sectPr w:rsidR="002145E9" w:rsidRPr="002145E9" w:rsidSect="00F27E91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4C"/>
    <w:rsid w:val="002145E9"/>
    <w:rsid w:val="00546C1D"/>
    <w:rsid w:val="0092149E"/>
    <w:rsid w:val="00B1054C"/>
    <w:rsid w:val="00D47D9B"/>
    <w:rsid w:val="00DF3B25"/>
    <w:rsid w:val="00EC6927"/>
    <w:rsid w:val="00ED513C"/>
    <w:rsid w:val="00F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8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MB</cp:lastModifiedBy>
  <cp:revision>3</cp:revision>
  <dcterms:created xsi:type="dcterms:W3CDTF">2012-06-20T02:22:00Z</dcterms:created>
  <dcterms:modified xsi:type="dcterms:W3CDTF">2012-06-20T02:25:00Z</dcterms:modified>
</cp:coreProperties>
</file>